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26, 2026</w:t>
      </w:r>
    </w:p>
    <w:p>
      <w:pPr>
        <w:spacing w:after="0" w:line="13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TRANSMONTAIGNE PARTNERS LLC</w:t>
      </w:r>
    </w:p>
    <w:p>
      <w:pPr>
        <w:spacing w:after="0" w:line="2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8"/>
          </w:cols>
          <w:pgMar w:left="292" w:top="531" w:right="299" w:bottom="1440" w:gutter="0" w:footer="0" w:header="0"/>
        </w:sectPr>
      </w:pPr>
    </w:p>
    <w:p>
      <w:pPr>
        <w:spacing w:after="0" w:line="134" w:lineRule="exact"/>
        <w:rPr>
          <w:sz w:val="24"/>
          <w:szCs w:val="24"/>
          <w:color w:val="auto"/>
        </w:rPr>
      </w:pPr>
    </w:p>
    <w:p>
      <w:pPr>
        <w:ind w:left="168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228"/>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208"/>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2"/>
          <w:szCs w:val="12"/>
          <w:b w:val="1"/>
          <w:bCs w:val="1"/>
          <w:color w:val="auto"/>
        </w:rPr>
        <w:t>001-32505</w:t>
      </w:r>
    </w:p>
    <w:p>
      <w:pPr>
        <w:spacing w:after="0" w:line="2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34-2037221</w:t>
      </w:r>
    </w:p>
    <w:p>
      <w:pPr>
        <w:spacing w:after="0" w:line="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Identification Number)</w:t>
      </w:r>
    </w:p>
    <w:p>
      <w:pPr>
        <w:spacing w:after="0" w:line="147" w:lineRule="exact"/>
        <w:rPr>
          <w:sz w:val="24"/>
          <w:szCs w:val="24"/>
          <w:color w:val="auto"/>
        </w:rPr>
      </w:pPr>
    </w:p>
    <w:p>
      <w:pPr>
        <w:sectPr>
          <w:pgSz w:w="11900" w:h="16838" w:orient="portrait"/>
          <w:cols w:equalWidth="0" w:num="3">
            <w:col w:w="4388" w:space="720"/>
            <w:col w:w="3120" w:space="720"/>
            <w:col w:w="2360"/>
          </w:cols>
          <w:pgMar w:left="292" w:top="531" w:right="299" w:bottom="1440" w:gutter="0" w:footer="0" w:header="0"/>
          <w:type w:val="continuous"/>
        </w:sect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1670 Broadway, Suite 3100, Denver, CO 80202</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303-626-8200</w:t>
      </w:r>
    </w:p>
    <w:p>
      <w:pPr>
        <w:sectPr>
          <w:pgSz w:w="11900" w:h="16838" w:orient="portrait"/>
          <w:cols w:equalWidth="0" w:num="1">
            <w:col w:w="11308"/>
          </w:cols>
          <w:pgMar w:left="292" w:top="531" w:right="299" w:bottom="1440" w:gutter="0" w:footer="0" w:header="0"/>
          <w:type w:val="continuous"/>
        </w:sectPr>
      </w:pPr>
    </w:p>
    <w:p>
      <w:pPr>
        <w:spacing w:after="0" w:line="16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497" w:lineRule="auto"/>
        <w:tabs>
          <w:tab w:leader="none" w:pos="224"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44"/>
        </w:trPr>
        <w:tc>
          <w:tcPr>
            <w:tcW w:w="3720" w:type="dxa"/>
            <w:vAlign w:val="bottom"/>
            <w:gridSpan w:val="2"/>
          </w:tcPr>
          <w:p>
            <w:pPr>
              <w:ind w:left="13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740" w:type="dxa"/>
            <w:vAlign w:val="bottom"/>
            <w:gridSpan w:val="2"/>
          </w:tcPr>
          <w:p>
            <w:pPr>
              <w:ind w:left="128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3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w:t>
            </w:r>
          </w:p>
        </w:tc>
      </w:tr>
      <w:tr>
        <w:trPr>
          <w:trHeight w:val="159"/>
        </w:trPr>
        <w:tc>
          <w:tcPr>
            <w:tcW w:w="35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which registered</w:t>
            </w: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As of the date of this filing, the registrant has no common units outstanding.</w:t>
      </w:r>
    </w:p>
    <w:p>
      <w:pPr>
        <w:spacing w:after="0" w:line="150"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78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109220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417830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31" w:right="299"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left="8" w:right="20" w:firstLine="432"/>
        <w:spacing w:after="0" w:line="257" w:lineRule="auto"/>
        <w:rPr>
          <w:sz w:val="20"/>
          <w:szCs w:val="20"/>
          <w:color w:val="auto"/>
        </w:rPr>
      </w:pPr>
      <w:r>
        <w:rPr>
          <w:rFonts w:ascii="Times New Roman" w:cs="Times New Roman" w:eastAsia="Times New Roman" w:hAnsi="Times New Roman"/>
          <w:sz w:val="12"/>
          <w:szCs w:val="12"/>
          <w:color w:val="auto"/>
        </w:rPr>
        <w:t>TransMontaigne Partners LLC (the “Company”) has been engaged in confidential discussions with certain lenders (collectively, the “Lenders”) and their financial and legal advisers regarding a potential repricing amendment to the Company’s senior secured incremental term loan B (a “Potential Transaction”). The Company entered into confidentiality agreements with the Lenders on January 26, 2026 pursuant to which the Company provided certain confidential information to the Lenders and agreed to publicly disclose such information (the “Cleansing Materials”). The Cleansing Materials include a presentation prepared by the Company and provided to the Lenders, which is attached hereto as Exhibit 99.1. The Company’s discussions and negotiations with the Lenders are continuing, a definitive agreement has not yet been reached concerning the terms of a Potential Transaction and the Company can provide no assurance that any such agreement will be reached.</w:t>
      </w:r>
    </w:p>
    <w:p>
      <w:pPr>
        <w:spacing w:after="0" w:line="125" w:lineRule="exact"/>
        <w:rPr>
          <w:sz w:val="20"/>
          <w:szCs w:val="20"/>
          <w:color w:val="auto"/>
        </w:rPr>
      </w:pPr>
    </w:p>
    <w:p>
      <w:pPr>
        <w:ind w:left="8" w:right="120" w:firstLine="432"/>
        <w:spacing w:after="0" w:line="279" w:lineRule="auto"/>
        <w:rPr>
          <w:sz w:val="20"/>
          <w:szCs w:val="20"/>
          <w:color w:val="auto"/>
        </w:rPr>
      </w:pPr>
      <w:r>
        <w:rPr>
          <w:rFonts w:ascii="Times New Roman" w:cs="Times New Roman" w:eastAsia="Times New Roman" w:hAnsi="Times New Roman"/>
          <w:sz w:val="12"/>
          <w:szCs w:val="12"/>
          <w:color w:val="auto"/>
        </w:rPr>
        <w:t>The Cleansing Materials are based solely on information available to the Company as of the date of the Cleansing Materials and were not prepared with a view toward public disclosure. The Cleansing Materials should not be relied on by any party for any reason.</w:t>
      </w:r>
    </w:p>
    <w:p>
      <w:pPr>
        <w:spacing w:after="0" w:line="111" w:lineRule="exact"/>
        <w:rPr>
          <w:sz w:val="20"/>
          <w:szCs w:val="20"/>
          <w:color w:val="auto"/>
        </w:rPr>
      </w:pPr>
    </w:p>
    <w:p>
      <w:pPr>
        <w:ind w:left="8" w:right="20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and Exhibit 99.1 to this report shall not be deemed to be “filed” for the purposes of Section 18 of the Securities Exchange Act of 1934 or otherwise subject to the liabilities of that Section, unless the Company specifically incorporates the information by reference in a document filed under the Securities Act of 1933 or the Securities Exchange Act of 1934.</w:t>
      </w:r>
    </w:p>
    <w:p>
      <w:pPr>
        <w:spacing w:after="0" w:line="111" w:lineRule="exact"/>
        <w:rPr>
          <w:sz w:val="20"/>
          <w:szCs w:val="20"/>
          <w:color w:val="auto"/>
        </w:rPr>
      </w:pPr>
    </w:p>
    <w:p>
      <w:pPr>
        <w:ind w:left="8" w:right="240" w:firstLine="432"/>
        <w:spacing w:after="0" w:line="327" w:lineRule="auto"/>
        <w:rPr>
          <w:sz w:val="20"/>
          <w:szCs w:val="20"/>
          <w:color w:val="auto"/>
        </w:rPr>
      </w:pPr>
      <w:r>
        <w:rPr>
          <w:rFonts w:ascii="Times New Roman" w:cs="Times New Roman" w:eastAsia="Times New Roman" w:hAnsi="Times New Roman"/>
          <w:sz w:val="11"/>
          <w:szCs w:val="11"/>
          <w:color w:val="auto"/>
        </w:rPr>
        <w:t>By filing this report on Form 8-K and furnishing this information, the Company makes no admission as to the materiality of any information contained in this report. The information in this report on Form 8-K, including Exhibit 99.1, is neither an offer to sell nor a solicitation of an offer to buy any securities. The Company undertakes no duty or obligation to publicly update or revise the information contained in this report except as required by law.</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ind w:left="588" w:hanging="588"/>
        <w:spacing w:after="0"/>
        <w:tabs>
          <w:tab w:leader="none" w:pos="58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920" w:type="dxa"/>
            <w:vAlign w:val="bottom"/>
          </w:tcPr>
          <w:p>
            <w:pPr>
              <w:spacing w:after="0"/>
              <w:rPr>
                <w:sz w:val="13"/>
                <w:szCs w:val="13"/>
                <w:color w:val="auto"/>
              </w:rPr>
            </w:pPr>
          </w:p>
        </w:tc>
        <w:tc>
          <w:tcPr>
            <w:tcW w:w="8140" w:type="dxa"/>
            <w:vAlign w:val="bottom"/>
          </w:tcPr>
          <w:p>
            <w:pPr>
              <w:jc w:val="right"/>
              <w:ind w:right="44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06"/>
        </w:trPr>
        <w:tc>
          <w:tcPr>
            <w:tcW w:w="90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340" w:type="dxa"/>
            <w:vAlign w:val="bottom"/>
          </w:tcPr>
          <w:p>
            <w:pPr>
              <w:spacing w:after="0"/>
              <w:rPr>
                <w:sz w:val="9"/>
                <w:szCs w:val="9"/>
                <w:color w:val="auto"/>
              </w:rPr>
            </w:pPr>
          </w:p>
        </w:tc>
        <w:tc>
          <w:tcPr>
            <w:tcW w:w="1006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Lender Presentation dated January 2026</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w:t>
            </w:r>
          </w:p>
        </w:tc>
      </w:tr>
      <w:tr>
        <w:trPr>
          <w:trHeight w:val="432"/>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gridSpan w:val="2"/>
          </w:tcPr>
          <w:p>
            <w:pPr>
              <w:jc w:val="right"/>
              <w:ind w:right="5560"/>
              <w:spacing w:after="0"/>
              <w:rPr>
                <w:sz w:val="20"/>
                <w:szCs w:val="20"/>
                <w:color w:val="auto"/>
              </w:rPr>
            </w:pPr>
            <w:r>
              <w:rPr>
                <w:rFonts w:ascii="Times New Roman" w:cs="Times New Roman" w:eastAsia="Times New Roman" w:hAnsi="Times New Roman"/>
                <w:sz w:val="12"/>
                <w:szCs w:val="12"/>
                <w:color w:val="auto"/>
              </w:rPr>
              <w:t>2</w:t>
            </w:r>
          </w:p>
        </w:tc>
      </w:tr>
    </w:tbl>
    <w:p>
      <w:pPr>
        <w:sectPr>
          <w:pgSz w:w="11900" w:h="16838" w:orient="portrait"/>
          <w:cols w:equalWidth="0" w:num="1">
            <w:col w:w="11308"/>
          </w:cols>
          <w:pgMar w:left="292"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Pursuant to the requirements of the Securities and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60" w:type="dxa"/>
            <w:vAlign w:val="bottom"/>
          </w:tcPr>
          <w:p>
            <w:pPr>
              <w:spacing w:after="0"/>
              <w:rPr>
                <w:sz w:val="13"/>
                <w:szCs w:val="13"/>
                <w:color w:val="auto"/>
              </w:rPr>
            </w:pPr>
          </w:p>
        </w:tc>
        <w:tc>
          <w:tcPr>
            <w:tcW w:w="7940" w:type="dxa"/>
            <w:vAlign w:val="bottom"/>
            <w:gridSpan w:val="2"/>
          </w:tcPr>
          <w:p>
            <w:pPr>
              <w:ind w:left="2300"/>
              <w:spacing w:after="0"/>
              <w:rPr>
                <w:sz w:val="20"/>
                <w:szCs w:val="20"/>
                <w:color w:val="auto"/>
              </w:rPr>
            </w:pPr>
            <w:r>
              <w:rPr>
                <w:rFonts w:ascii="Times New Roman" w:cs="Times New Roman" w:eastAsia="Times New Roman" w:hAnsi="Times New Roman"/>
                <w:sz w:val="12"/>
                <w:szCs w:val="12"/>
                <w:color w:val="auto"/>
              </w:rPr>
              <w:t>TRANSMONTAIGNE PARTNERS LLC</w:t>
            </w:r>
          </w:p>
        </w:tc>
      </w:tr>
      <w:tr>
        <w:trPr>
          <w:trHeight w:val="288"/>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26, 2026</w:t>
            </w:r>
          </w:p>
        </w:tc>
        <w:tc>
          <w:tcPr>
            <w:tcW w:w="7940" w:type="dxa"/>
            <w:vAlign w:val="bottom"/>
            <w:gridSpan w:val="2"/>
          </w:tcPr>
          <w:p>
            <w:pPr>
              <w:ind w:left="2300"/>
              <w:spacing w:after="0"/>
              <w:rPr>
                <w:sz w:val="20"/>
                <w:szCs w:val="20"/>
                <w:color w:val="auto"/>
              </w:rPr>
            </w:pPr>
            <w:r>
              <w:rPr>
                <w:rFonts w:ascii="Times New Roman" w:cs="Times New Roman" w:eastAsia="Times New Roman" w:hAnsi="Times New Roman"/>
                <w:sz w:val="12"/>
                <w:szCs w:val="12"/>
                <w:color w:val="auto"/>
              </w:rPr>
              <w:t>By:   /s/ Matthew White</w:t>
            </w:r>
          </w:p>
        </w:tc>
      </w:tr>
      <w:tr>
        <w:trPr>
          <w:trHeight w:val="122"/>
        </w:trPr>
        <w:tc>
          <w:tcPr>
            <w:tcW w:w="33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Matthew White</w:t>
            </w:r>
          </w:p>
        </w:tc>
      </w:tr>
      <w:tr>
        <w:trPr>
          <w:trHeight w:val="155"/>
        </w:trPr>
        <w:tc>
          <w:tcPr>
            <w:tcW w:w="3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General Counsel and Secretary</w:t>
            </w:r>
          </w:p>
        </w:tc>
      </w:tr>
      <w:tr>
        <w:trPr>
          <w:trHeight w:val="432"/>
        </w:trPr>
        <w:tc>
          <w:tcPr>
            <w:tcW w:w="3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669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566928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669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669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669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669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669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669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669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66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669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2026-01-26T12:12:32Z</dcterms:created>
  <dcterms:modified xsi:type="dcterms:W3CDTF">2026-01-26T12:12:32Z</dcterms:modified>
</cp:coreProperties>
</file>