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50930x10q.htm"/>
        <w:bookmarkStart w:id="1" w:name="kstmb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center"/>
        <w:rPr>
          <w:rFonts w:ascii="Times New Roman;Times;serif" w:hAnsi="Times New Roman;Times;serif"/>
          <w:b/>
          <w:sz w:val="26"/>
        </w:rPr>
      </w:pPr>
      <w:bookmarkStart w:id="2" w:name="_296de217_dfa6_4dad_a7ff_dfcd4c215042"/>
      <w:bookmarkEnd w:id="2"/>
      <w:r>
        <w:rPr>
          <w:rFonts w:ascii="Times New Roman;Times;serif" w:hAnsi="Times New Roman;Times;serif"/>
          <w:b/>
          <w:sz w:val="26"/>
        </w:rPr>
        <w:t>UNITED STATES</w:t>
        <w:b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Normal"/>
        <w:bidi w:val="0"/>
        <w:spacing w:before="0" w:after="0"/>
        <w:jc w:val="left"/>
        <w:rPr>
          <w:sz w:val="4"/>
          <w:szCs w:val="4"/>
        </w:rPr>
      </w:pPr>
      <w:r>
        <w:rPr>
          <w:sz w:val="4"/>
          <w:szCs w:val="4"/>
        </w:rPr>
      </w:r>
      <w:bookmarkStart w:id="3" w:name="Tc_zVotE_U_7kKvN5cGOZ9ESg_5_1"/>
      <w:bookmarkStart w:id="4" w:name="Tc_dmd5R6tI0E2WLYSFsD61mQ_4_0"/>
      <w:bookmarkStart w:id="5" w:name="Tc_Jn5k6yA-CkmsngqA9a0yKQ_3_0"/>
      <w:bookmarkStart w:id="6" w:name="Tc_U1XN0m5oCUWS0a5rLP0rWw_2_1"/>
      <w:bookmarkStart w:id="7" w:name="Tc_g-V4haLky0m7VHANqoUsSQ_1_0"/>
      <w:bookmarkStart w:id="8" w:name="_e329fa3d_41de_4408_b72d_f5515942a46c"/>
      <w:bookmarkStart w:id="9" w:name="Tc_zVotE_U_7kKvN5cGOZ9ESg_5_1"/>
      <w:bookmarkStart w:id="10" w:name="Tc_dmd5R6tI0E2WLYSFsD61mQ_4_0"/>
      <w:bookmarkStart w:id="11" w:name="Tc_Jn5k6yA-CkmsngqA9a0yKQ_3_0"/>
      <w:bookmarkStart w:id="12" w:name="Tc_U1XN0m5oCUWS0a5rLP0rWw_2_1"/>
      <w:bookmarkStart w:id="13" w:name="Tc_g-V4haLky0m7VHANqoUsSQ_1_0"/>
      <w:bookmarkStart w:id="14" w:name="_e329fa3d_41de_4408_b72d_f5515942a46c"/>
      <w:bookmarkEnd w:id="9"/>
      <w:bookmarkEnd w:id="10"/>
      <w:bookmarkEnd w:id="11"/>
      <w:bookmarkEnd w:id="12"/>
      <w:bookmarkEnd w:id="13"/>
      <w:bookmarkEnd w:id="14"/>
    </w:p>
    <w:tbl>
      <w:tblPr>
        <w:tblW w:w="8717" w:type="dxa"/>
        <w:jc w:val="left"/>
        <w:tblInd w:w="0" w:type="dxa"/>
        <w:tblLayout w:type="fixed"/>
        <w:tblCellMar>
          <w:top w:w="0" w:type="dxa"/>
          <w:left w:w="0" w:type="dxa"/>
          <w:bottom w:w="0" w:type="dxa"/>
          <w:right w:w="0" w:type="dxa"/>
        </w:tblCellMar>
      </w:tblPr>
      <w:tblGrid>
        <w:gridCol w:w="1111"/>
        <w:gridCol w:w="7606"/>
      </w:tblGrid>
      <w:tr>
        <w:trPr/>
        <w:tc>
          <w:tcPr>
            <w:tcW w:w="1111" w:type="dxa"/>
            <w:tcBorders/>
            <w:vAlign w:val="center"/>
          </w:tcPr>
          <w:p>
            <w:pPr>
              <w:pStyle w:val="TableContents"/>
              <w:bidi w:val="0"/>
              <w:spacing w:before="0" w:after="0"/>
              <w:ind w:left="0" w:right="0" w:hanging="0"/>
              <w:jc w:val="left"/>
              <w:rPr/>
            </w:pPr>
            <w:r>
              <w:rPr/>
              <w:t>​</w:t>
            </w:r>
          </w:p>
        </w:tc>
        <w:tc>
          <w:tcPr>
            <w:tcW w:w="7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829810" cy="175260"/>
                      <wp:effectExtent l="0" t="0" r="0" b="0"/>
                      <wp:wrapNone/>
                      <wp:docPr id="1" name="Frame1"/>
                      <a:graphic xmlns:a="http://schemas.openxmlformats.org/drawingml/2006/main">
                        <a:graphicData uri="http://schemas.microsoft.com/office/word/2010/wordprocessingShape">
                          <wps:wsp>
                            <wps:cNvSpPr txBox="1"/>
                            <wps:spPr>
                              <a:xfrm>
                                <a:off x="0" y="0"/>
                                <a:ext cx="482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7606" w:type="dxa"/>
            <w:tcBorders/>
            <w:vAlign w:val="center"/>
          </w:tcPr>
          <w:p>
            <w:pPr>
              <w:pStyle w:val="TableContents"/>
              <w:bidi w:val="0"/>
              <w:spacing w:before="0" w:after="0"/>
              <w:ind w:left="0" w:right="0" w:hanging="0"/>
              <w:jc w:val="left"/>
              <w:rPr/>
            </w:pPr>
            <w:r>
              <w:rPr/>
              <w:t>​</w:t>
            </w:r>
          </w:p>
        </w:tc>
      </w:tr>
      <w:tr>
        <w:trPr/>
        <w:tc>
          <w:tcPr>
            <w:tcW w:w="1111" w:type="dxa"/>
            <w:tcBorders/>
            <w:vAlign w:val="center"/>
          </w:tcPr>
          <w:p>
            <w:pPr>
              <w:pStyle w:val="TableContents"/>
              <w:pBdr/>
              <w:bidi w:val="0"/>
              <w:spacing w:before="0" w:after="0"/>
              <w:ind w:left="0" w:right="0" w:hanging="0"/>
              <w:jc w:val="center"/>
              <w:rPr/>
            </w:pPr>
            <w:r>
              <w:rPr/>
              <w:t>☒</w:t>
            </w:r>
          </w:p>
        </w:tc>
        <w:tc>
          <w:tcPr>
            <w:tcW w:w="76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8717"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tc>
      </w:tr>
      <w:tr>
        <w:trPr/>
        <w:tc>
          <w:tcPr>
            <w:tcW w:w="8717"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1111" w:type="dxa"/>
            <w:tcBorders/>
            <w:vAlign w:val="center"/>
          </w:tcPr>
          <w:p>
            <w:pPr>
              <w:pStyle w:val="TableContents"/>
              <w:pBdr/>
              <w:bidi w:val="0"/>
              <w:spacing w:before="0" w:after="0"/>
              <w:ind w:left="0" w:right="0" w:hanging="0"/>
              <w:jc w:val="center"/>
              <w:rPr/>
            </w:pPr>
            <w:r>
              <w:rPr/>
              <w:t>☐</w:t>
            </w:r>
          </w:p>
        </w:tc>
        <w:tc>
          <w:tcPr>
            <w:tcW w:w="76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001-32505</w:t>
      </w:r>
    </w:p>
    <w:p>
      <w:pPr>
        <w:pStyle w:val="TextBody"/>
        <w:bidi w:val="0"/>
        <w:spacing w:before="0" w:after="120"/>
        <w:ind w:left="0" w:right="0" w:hanging="0"/>
        <w:jc w:val="center"/>
        <w:rPr>
          <w:rFonts w:ascii="Times New Roman;Times;serif" w:hAnsi="Times New Roman;Times;serif"/>
          <w:b/>
          <w:sz w:val="26"/>
        </w:rPr>
      </w:pPr>
      <w:r>
        <w:rPr>
          <w:rFonts w:ascii="Times New Roman;Times;serif" w:hAnsi="Times New Roman;Times;serif"/>
          <w:b/>
          <w:sz w:val="26"/>
        </w:rPr>
        <w:t>TRANSMONTAIGNE PARTNERS LLC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4232" w:type="dxa"/>
        <w:jc w:val="left"/>
        <w:tblInd w:w="0" w:type="dxa"/>
        <w:tblLayout w:type="fixed"/>
        <w:tblCellMar>
          <w:top w:w="0" w:type="dxa"/>
          <w:left w:w="0" w:type="dxa"/>
          <w:bottom w:w="0" w:type="dxa"/>
          <w:right w:w="0" w:type="dxa"/>
        </w:tblCellMar>
      </w:tblPr>
      <w:tblGrid>
        <w:gridCol w:w="2581"/>
        <w:gridCol w:w="1651"/>
      </w:tblGrid>
      <w:tr>
        <w:trPr/>
        <w:tc>
          <w:tcPr>
            <w:tcW w:w="2581"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w:t>
              <w:br/>
              <w:t>incorporation or organization)</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34-2037221</w:t>
            </w:r>
            <w:r>
              <w:rPr>
                <w:rFonts w:ascii="Times New Roman;Times;serif" w:hAnsi="Times New Roman;Times;serif"/>
                <w:sz w:val="20"/>
              </w:rPr>
              <w:br/>
              <w:t>(I.R.S. Employer</w:t>
              <w:br/>
              <w:t>Identification No.)</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1670 Broadway</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Suite 3100</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20"/>
        </w:rPr>
        <w:t>Denver, Colorado</w:t>
      </w:r>
      <w:r>
        <w:rPr>
          <w:rFonts w:ascii="Times New Roman;Times;serif" w:hAnsi="Times New Roman;Times;serif"/>
          <w:sz w:val="20"/>
        </w:rPr>
        <w:t xml:space="preserve"> </w:t>
      </w:r>
      <w:r>
        <w:rPr>
          <w:rFonts w:ascii="Times New Roman;Times;serif" w:hAnsi="Times New Roman;Times;serif"/>
          <w:b/>
          <w:sz w:val="20"/>
        </w:rPr>
        <w:t>80202</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(Address, including zip code, of principal executive offices)</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(303) 626-8200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(Telephone number, including area code)</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 xml:space="preserve">☐ </w:t>
      </w:r>
      <w:r>
        <w:rPr>
          <w:rFonts w:ascii="Times New Roman;Times;serif" w:hAnsi="Times New Roman;Times;serif"/>
          <w:sz w:val="18"/>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707" w:type="dxa"/>
        <w:jc w:val="left"/>
        <w:tblInd w:w="0" w:type="dxa"/>
        <w:tblLayout w:type="fixed"/>
        <w:tblCellMar>
          <w:top w:w="0" w:type="dxa"/>
          <w:left w:w="0" w:type="dxa"/>
          <w:bottom w:w="0" w:type="dxa"/>
          <w:right w:w="0" w:type="dxa"/>
        </w:tblCellMar>
      </w:tblPr>
      <w:tblGrid>
        <w:gridCol w:w="1861"/>
        <w:gridCol w:w="1441"/>
        <w:gridCol w:w="109"/>
        <w:gridCol w:w="2296"/>
      </w:tblGrid>
      <w:tr>
        <w:trPr/>
        <w:tc>
          <w:tcPr>
            <w:tcW w:w="1861"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pBdr/>
              <w:bidi w:val="0"/>
              <w:spacing w:before="0" w:after="0"/>
              <w:ind w:left="0" w:right="0" w:hanging="200"/>
              <w:jc w:val="left"/>
              <w:rPr>
                <w:rFonts w:ascii="Times New Roman;Times;serif" w:hAnsi="Times New Roman;Times;serif"/>
                <w:sz w:val="16"/>
              </w:rPr>
            </w:pPr>
            <w:r>
              <w:rPr>
                <w:rFonts w:ascii="Times New Roman;Times;serif" w:hAnsi="Times New Roman;Times;serif"/>
                <w:sz w:val="16"/>
              </w:rPr>
              <w:t>Large accelerated filer ☐</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 xml:space="preserve">Securities registered pursuant to Section 12(b) of the Act: </w:t>
      </w:r>
      <w:r>
        <w:rPr>
          <w:rFonts w:ascii="Times New Roman;Times;serif" w:hAnsi="Times New Roman;Times;serif"/>
          <w:b/>
          <w:sz w:val="18"/>
        </w:rPr>
        <w:t>None</w:t>
      </w:r>
    </w:p>
    <w:tbl>
      <w:tblPr>
        <w:tblW w:w="6820" w:type="dxa"/>
        <w:jc w:val="left"/>
        <w:tblInd w:w="0" w:type="dxa"/>
        <w:tblLayout w:type="fixed"/>
        <w:tblCellMar>
          <w:top w:w="0" w:type="dxa"/>
          <w:left w:w="0" w:type="dxa"/>
          <w:bottom w:w="28" w:type="dxa"/>
          <w:right w:w="0" w:type="dxa"/>
        </w:tblCellMar>
      </w:tblPr>
      <w:tblGrid>
        <w:gridCol w:w="1396"/>
        <w:gridCol w:w="326"/>
        <w:gridCol w:w="1456"/>
        <w:gridCol w:w="326"/>
        <w:gridCol w:w="3316"/>
      </w:tblGrid>
      <w:tr>
        <w:trPr/>
        <w:tc>
          <w:tcPr>
            <w:tcW w:w="13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18"/>
        </w:rPr>
      </w:pPr>
      <w:r>
        <w:rPr>
          <w:rFonts w:ascii="Times New Roman;Times;serif" w:hAnsi="Times New Roman;Times;serif"/>
          <w:sz w:val="18"/>
        </w:rPr>
        <w:t>As of September 30, 2025, the registrant has no common units outstanding.</w:t>
      </w:r>
    </w:p>
    <w:p>
      <w:pPr>
        <w:pStyle w:val="TextBody"/>
        <w:bidi w:val="0"/>
        <w:spacing w:before="0" w:after="120"/>
        <w:ind w:left="0" w:right="0" w:firstLine="720"/>
        <w:jc w:val="left"/>
        <w:rPr>
          <w:rFonts w:ascii="Times New Roman;Times;serif" w:hAnsi="Times New Roman;Times;serif"/>
          <w:sz w:val="18"/>
        </w:rPr>
      </w:pPr>
      <w:r>
        <w:rPr>
          <w:rFonts w:ascii="Times New Roman;Times;serif" w:hAnsi="Times New Roman;Times;serif"/>
          <w:sz w:val="18"/>
        </w:rPr>
        <w:t>* The registrant is a voluntary filer of reports required to be filed by certain companies under Section 13 or 15(d) of the Securities Exchange Act of 1934 and has filed all reports that would have been required to have been filed by the registrant during the preceding 12 months had it been subject to such filing requirements during the entirety of such period.</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 w:name="Toc"/>
      <w:bookmarkStart w:id="16" w:name="_5c81e457_2587_45cb_a32d_cffe3d23044a"/>
      <w:bookmarkEnd w:id="15"/>
      <w:bookmarkEnd w:id="1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109"/>
        <w:gridCol w:w="8039"/>
        <w:gridCol w:w="326"/>
        <w:gridCol w:w="766"/>
        <w:gridCol w:w="154"/>
      </w:tblGrid>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51" w:type="dxa"/>
            <w:gridSpan w:val="5"/>
            <w:tcBorders/>
            <w:vAlign w:val="center"/>
          </w:tcPr>
          <w:p>
            <w:pPr>
              <w:pStyle w:val="TableContents"/>
              <w:bidi w:val="0"/>
              <w:spacing w:before="0" w:after="0"/>
              <w:ind w:left="0" w:right="0" w:hanging="0"/>
              <w:jc w:val="center"/>
              <w:rPr/>
            </w:pPr>
            <w:hyperlink w:anchor="PartIFinancialInformation_986777">
              <w:r>
                <w:rPr>
                  <w:rStyle w:val="InternetLink"/>
                  <w:rFonts w:ascii="Times New Roman;Times;serif" w:hAnsi="Times New Roman;Times;serif"/>
                  <w:b/>
                  <w:i w:val="false"/>
                  <w:caps w:val="false"/>
                  <w:smallCaps w:val="false"/>
                  <w:sz w:val="20"/>
                </w:rPr>
                <w:t>Part I. Financial Information</w:t>
              </w:r>
            </w:hyperlink>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hyperlink w:anchor="ITEM1UNAUDITEDCONSOLIDATEDFINANCIALSTATE">
              <w:r>
                <w:rPr>
                  <w:rStyle w:val="InternetLink"/>
                  <w:rFonts w:ascii="Times New Roman;Times;serif" w:hAnsi="Times New Roman;Times;serif"/>
                  <w:b w:val="false"/>
                  <w:i w:val="false"/>
                  <w:caps w:val="false"/>
                  <w:smallCaps w:val="false"/>
                  <w:sz w:val="20"/>
                </w:rPr>
                <w:t>Item 1.</w:t>
              </w:r>
            </w:hyperlink>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ITEM1UNAUDITEDCONSOLIDATEDFINANCIALSTATE">
              <w:r>
                <w:rPr>
                  <w:rStyle w:val="InternetLink"/>
                  <w:rFonts w:ascii="Times New Roman;Times;serif" w:hAnsi="Times New Roman;Times;serif"/>
                  <w:b w:val="false"/>
                  <w:i w:val="false"/>
                  <w:caps w:val="false"/>
                  <w:smallCaps w:val="false"/>
                  <w:sz w:val="20"/>
                </w:rPr>
                <w:t>Unaudited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Consolidatedbalancesheetsunaudited_44692">
              <w:r>
                <w:rPr>
                  <w:rStyle w:val="InternetLink"/>
                  <w:rFonts w:ascii="Times New Roman;Times;serif" w:hAnsi="Times New Roman;Times;serif"/>
                  <w:b w:val="false"/>
                  <w:i w:val="false"/>
                  <w:caps w:val="false"/>
                  <w:smallCaps w:val="false"/>
                  <w:sz w:val="20"/>
                </w:rPr>
                <w:t>Consolidated balance sheets as of September 30, 2025 and December 31, 2024</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operations for the three and nine months ended September 30, 2025 and 2024</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Consolidatedstatementsofpartnersequity_3">
              <w:r>
                <w:rPr>
                  <w:rStyle w:val="InternetLink"/>
                  <w:rFonts w:ascii="Times New Roman;Times;serif" w:hAnsi="Times New Roman;Times;serif"/>
                  <w:b w:val="false"/>
                  <w:i w:val="false"/>
                  <w:caps w:val="false"/>
                  <w:smallCaps w:val="false"/>
                  <w:sz w:val="20"/>
                </w:rPr>
                <w:t>Consolidated statements of equity for the three and nine months ended September 30, 2025 and 2024</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Consolidatedstatementsofcashflows_103161">
              <w:r>
                <w:rPr>
                  <w:rStyle w:val="InternetLink"/>
                  <w:rFonts w:ascii="Times New Roman;Times;serif" w:hAnsi="Times New Roman;Times;serif"/>
                  <w:b w:val="false"/>
                  <w:i w:val="false"/>
                  <w:caps w:val="false"/>
                  <w:smallCaps w:val="false"/>
                  <w:sz w:val="20"/>
                </w:rPr>
                <w:t>Consolidated statements of cash flows for the three and nine months ended September 30, 2025 and 2024</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a1SUMMARYOFSIGNIFICANTACCOUNTINGPOLICIES">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hyperlink w:anchor="ITEM2MANAGEMENTSDISCUSSION_380437">
              <w:r>
                <w:rPr>
                  <w:rStyle w:val="InternetLink"/>
                  <w:rFonts w:ascii="Times New Roman;Times;serif" w:hAnsi="Times New Roman;Times;serif"/>
                  <w:b w:val="false"/>
                  <w:i w:val="false"/>
                  <w:caps w:val="false"/>
                  <w:smallCaps w:val="false"/>
                  <w:sz w:val="20"/>
                </w:rPr>
                <w:t>Item 2.</w:t>
              </w:r>
            </w:hyperlink>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ITEM2MANAGEMENTSDISCUSSION_38043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hyperlink w:anchor="ITEM3QUANTITATIVEANDQUALITATIVE_142176">
              <w:r>
                <w:rPr>
                  <w:rStyle w:val="InternetLink"/>
                  <w:rFonts w:ascii="Times New Roman;Times;serif" w:hAnsi="Times New Roman;Times;serif"/>
                  <w:b w:val="false"/>
                  <w:i w:val="false"/>
                  <w:caps w:val="false"/>
                  <w:smallCaps w:val="false"/>
                  <w:sz w:val="20"/>
                </w:rPr>
                <w:t>Item 3.</w:t>
              </w:r>
            </w:hyperlink>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ITEM3QUANTITATIVEANDQUALITATIVE_142176">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hyperlink w:anchor="ITEM4CONTROLSANDPROCEDURES_189999">
              <w:r>
                <w:rPr>
                  <w:rStyle w:val="InternetLink"/>
                  <w:rFonts w:ascii="Times New Roman;Times;serif" w:hAnsi="Times New Roman;Times;serif"/>
                  <w:b w:val="false"/>
                  <w:i w:val="false"/>
                  <w:caps w:val="false"/>
                  <w:smallCaps w:val="false"/>
                  <w:sz w:val="20"/>
                </w:rPr>
                <w:t>Item 4.</w:t>
              </w:r>
            </w:hyperlink>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ITEM4CONTROLSANDPROCEDURES_189999">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51" w:type="dxa"/>
            <w:gridSpan w:val="5"/>
            <w:tcBorders/>
            <w:vAlign w:val="center"/>
          </w:tcPr>
          <w:p>
            <w:pPr>
              <w:pStyle w:val="TableContents"/>
              <w:bidi w:val="0"/>
              <w:spacing w:before="0" w:after="0"/>
              <w:ind w:left="0" w:right="0" w:hanging="0"/>
              <w:jc w:val="center"/>
              <w:rPr/>
            </w:pPr>
            <w:hyperlink w:anchor="PartIIOtherInformation_593739">
              <w:r>
                <w:rPr>
                  <w:rStyle w:val="InternetLink"/>
                  <w:rFonts w:ascii="Times New Roman;Times;serif" w:hAnsi="Times New Roman;Times;serif"/>
                  <w:b/>
                  <w:i w:val="false"/>
                  <w:caps w:val="false"/>
                  <w:smallCaps w:val="false"/>
                  <w:sz w:val="20"/>
                </w:rPr>
                <w:t>Part II. Other Information</w:t>
              </w:r>
            </w:hyperlink>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hyperlink w:anchor="ITEM1ARISKFACTORS_257026">
              <w:r>
                <w:rPr>
                  <w:rStyle w:val="InternetLink"/>
                  <w:rFonts w:ascii="Times New Roman;Times;serif" w:hAnsi="Times New Roman;Times;serif"/>
                  <w:b w:val="false"/>
                  <w:i w:val="false"/>
                  <w:caps w:val="false"/>
                  <w:smallCaps w:val="false"/>
                  <w:sz w:val="20"/>
                </w:rPr>
                <w:t>Item 1A.</w:t>
              </w:r>
            </w:hyperlink>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ITEM1ARISKFACTORS_257026">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6EXHIBITS_962">
              <w:r>
                <w:rPr>
                  <w:rStyle w:val="InternetLink"/>
                  <w:rFonts w:ascii="Times New Roman;Times;serif" w:hAnsi="Times New Roman;Times;serif"/>
                  <w:b w:val="false"/>
                  <w:i w:val="false"/>
                  <w:caps w:val="false"/>
                  <w:smallCaps w:val="false"/>
                  <w:sz w:val="20"/>
                </w:rPr>
                <w:t>Item 6.</w:t>
              </w:r>
            </w:hyperlink>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ITEM6EXHIBITS_962">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5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39" w:type="dxa"/>
            <w:tcBorders/>
            <w:vAlign w:val="center"/>
          </w:tcPr>
          <w:p>
            <w:pPr>
              <w:pStyle w:val="TableContents"/>
              <w:pBdr/>
              <w:bidi w:val="0"/>
              <w:spacing w:before="0" w:after="0"/>
              <w:ind w:left="0" w:right="0" w:hanging="0"/>
              <w:jc w:val="left"/>
              <w:rPr/>
            </w:pPr>
            <w:hyperlink w:anchor="SIGNATURES_661020">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 w:name="_707c4f84_53dc_4c0f_ae29_55cac56235e6"/>
      <w:bookmarkEnd w:id="17"/>
      <w:r>
        <w:rPr>
          <w:rFonts w:ascii="Times New Roman;Times;serif" w:hAnsi="Times New Roman;Times;serif"/>
          <w:b/>
          <w:sz w:val="20"/>
        </w:rPr>
        <w:t>CAUTIONARY STATEMENT REGARDING 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within the meaning of federal securities laws. Forward-looking statements give our current expectations, contain projections of results of operations or of financial condition, or forecasts of future events. When used in this Quarterly Report, the words “could,” “may,” “should,” “will,” “seek,” “believe,” “expect,” “anticipate,” “intend,” “continue,” “estimate,” “plan,” “target,” “predict,” “project,” “attempt,” “is scheduled,” “likely,” “forecast,” the negatives thereof and other similar expressions are used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 You are cautioned not to place undue reliance on any forward-looking statements.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When considering forward-looking statements, you should keep in mind the risk factors and other cautionary statements described in this Quarterly Report under the heading “Item 1A. Risk Factors”, and under the heading “Item 1A. Risk Factors” included in our Annual Report on Form 10-K for the year ended December 31, 2024, filed on March 27, 2025 with the United States Securities and Exchange Commission, and the risk factors and other cautionary statements contained in our other filings with the Securities and Exchange Commission.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w:t>
      </w:r>
    </w:p>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implement our business strategy;</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competitive conditions in our industry; </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taken by third-party customers, producers, operators, processors and transporters;</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legal or environmental matters;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conducting our operations;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access to capital financing;</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the products that we purchase and sell;</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complete internal growth projects on time and on budget;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including inflation, changes in United States administrative policy or international trade relations, including the imposition of tariffs;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price of oil, natural gas, natural gas liquids and other commodities in the energy industry; </w:t>
            </w:r>
          </w:p>
        </w:tc>
      </w:tr>
    </w:tbl>
    <w:tbl>
      <w:tblPr>
        <w:tblW w:w="2511" w:type="dxa"/>
        <w:jc w:val="left"/>
        <w:tblInd w:w="0" w:type="dxa"/>
        <w:tblLayout w:type="fixed"/>
        <w:tblCellMar>
          <w:top w:w="28" w:type="dxa"/>
          <w:left w:w="28" w:type="dxa"/>
          <w:bottom w:w="28" w:type="dxa"/>
          <w:right w:w="28" w:type="dxa"/>
        </w:tblCellMar>
      </w:tblPr>
      <w:tblGrid>
        <w:gridCol w:w="124"/>
        <w:gridCol w:w="256"/>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 customer defaults; </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rising interest rates; </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joint ventures, over which we do not maintain full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hazards, global health epidemics, natural disasters, weather-related events, cyber-security breaches, IT system outages, global or regional conflicts, terrorist attacks, casualty losses and other matters beyond our control; </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demand for refined products and renewable fuels;</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uncertainty regarding our future operating results; </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effects of existing and future laws and governmental regulations; </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effects of future litigation; </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personnel across all areas of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that may arise between ArcLight and its affiliates and subsidiaries and us;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objectives, expectations and intentions contained in this Quarterly Report that are not historical; and</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 crises, epidemics and pandemics.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Except as otherwise required by applicable law, we disclaim any duty to update any forward-looking statements, all of which are expressly qualified by the statements in this section,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240"/>
        <w:ind w:left="0" w:right="0" w:hanging="0"/>
        <w:jc w:val="center"/>
        <w:rPr>
          <w:rFonts w:ascii="Times New Roman;Times;serif" w:hAnsi="Times New Roman;Times;serif"/>
          <w:b/>
          <w:sz w:val="20"/>
        </w:rPr>
      </w:pPr>
      <w:bookmarkStart w:id="18" w:name="PartIFinancialInformation_986777"/>
      <w:bookmarkEnd w:id="18"/>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19" w:name="ITEM1UNAUDITEDCONSOLIDATEDFINANCIALSTATE"/>
      <w:bookmarkEnd w:id="19"/>
      <w:r>
        <w:rPr>
          <w:rFonts w:ascii="Times New Roman;Times;serif" w:hAnsi="Times New Roman;Times;serif"/>
          <w:b/>
          <w:sz w:val="20"/>
        </w:rPr>
        <w:t>ITEM 1. UNAUDITED CONSOLIDATED FINANCIAL STATEMENTS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interim unaudited consolidated financial statements of TransMontaigne Partners LLC as of September 30, 2025 and December 31, 2024 and for the three and nine months ended September 30, 2025 and 2024 are included herein beginning on the following page. The accompanying unaudited interim consolidated financial statements should be read in conjunction with our consolidated financial statements and related notes as of and for the year ended December 31, 2024, together with our discussion and analysis of financial condition and results of operations, included in our Annual Report on Form 10-K, filed on March 27, 2025 with the Securities and Exchange Commission (File No. 001-32505).</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TransMontaigne Partners LLC is a holding company with the following 100% owned operating subsidiaries during the three and nine months ended September 30, 2025 and 2024:</w:t>
      </w:r>
    </w:p>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TransMontaigne Operating GP L.L.C.</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TransMontaigne Operating Company L.P.</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TransMontaigne Terminals L.L.C.</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Razorback L.L.C. (d/b/a Diamondback Pipeline L.L.C.)</w:t>
            </w:r>
          </w:p>
        </w:tc>
      </w:tr>
    </w:tbl>
    <w:tbl>
      <w:tblPr>
        <w:tblW w:w="2331" w:type="dxa"/>
        <w:jc w:val="left"/>
        <w:tblInd w:w="0" w:type="dxa"/>
        <w:tblLayout w:type="fixed"/>
        <w:tblCellMar>
          <w:top w:w="28" w:type="dxa"/>
          <w:left w:w="28" w:type="dxa"/>
          <w:bottom w:w="28" w:type="dxa"/>
          <w:right w:w="28"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TPSI Terminals L.L.C.</w:t>
            </w:r>
          </w:p>
        </w:tc>
      </w:tr>
    </w:tbl>
    <w:tbl>
      <w:tblPr>
        <w:tblW w:w="2061" w:type="dxa"/>
        <w:jc w:val="left"/>
        <w:tblInd w:w="0" w:type="dxa"/>
        <w:tblLayout w:type="fixed"/>
        <w:tblCellMar>
          <w:top w:w="28" w:type="dxa"/>
          <w:left w:w="28" w:type="dxa"/>
          <w:bottom w:w="28" w:type="dxa"/>
          <w:right w:w="28" w:type="dxa"/>
        </w:tblCellMar>
      </w:tblPr>
      <w:tblGrid>
        <w:gridCol w:w="124"/>
        <w:gridCol w:w="256"/>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TLP Finance Corp.</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TLP Operating Finance Corp.</w:t>
            </w:r>
          </w:p>
        </w:tc>
      </w:tr>
    </w:tbl>
    <w:tbl>
      <w:tblPr>
        <w:tblW w:w="1611" w:type="dxa"/>
        <w:jc w:val="left"/>
        <w:tblInd w:w="0" w:type="dxa"/>
        <w:tblLayout w:type="fixed"/>
        <w:tblCellMar>
          <w:top w:w="28" w:type="dxa"/>
          <w:left w:w="28" w:type="dxa"/>
          <w:bottom w:w="28" w:type="dxa"/>
          <w:right w:w="28" w:type="dxa"/>
        </w:tblCellMar>
      </w:tblPr>
      <w:tblGrid>
        <w:gridCol w:w="124"/>
        <w:gridCol w:w="256"/>
        <w:gridCol w:w="1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TPME L.L.C.</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TLP Management Services L.L.C.</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TransMontaigne Products Company L.L.C.</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Pike West Coast Holdings, L.L.C.</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SeaPort Financing, L.L.C.</w:t>
            </w:r>
          </w:p>
        </w:tc>
      </w:tr>
    </w:tbl>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SeaPort Sound Terminal, L.L.C.</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SeaPort Pipeline Holdings, L.L.C.</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SeaPort Midstream Holdings, L.L.C.</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off-balance-sheet arrangements or special-purpose entities.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20" w:name="_8d826dd0_ab1b_4821_897d_f56337d11299"/>
      <w:bookmarkEnd w:id="20"/>
      <w:r>
        <w:rPr>
          <w:rFonts w:ascii="Times New Roman;Times;serif" w:hAnsi="Times New Roman;Times;serif"/>
          <w:b/>
          <w:sz w:val="20"/>
        </w:rPr>
        <w:t>TransMontaigne Partners LLC and subsidiaries</w:t>
      </w:r>
    </w:p>
    <w:p>
      <w:pPr>
        <w:pStyle w:val="TextBody"/>
        <w:bidi w:val="0"/>
        <w:spacing w:before="0" w:after="120"/>
        <w:ind w:left="0" w:right="0" w:hanging="0"/>
        <w:jc w:val="center"/>
        <w:rPr>
          <w:rFonts w:ascii="Times New Roman;Times;serif" w:hAnsi="Times New Roman;Times;serif"/>
          <w:b/>
          <w:sz w:val="20"/>
        </w:rPr>
      </w:pPr>
      <w:bookmarkStart w:id="21" w:name="Consolidatedbalancesheetsunaudited_44692"/>
      <w:bookmarkEnd w:id="21"/>
      <w:r>
        <w:rPr>
          <w:rFonts w:ascii="Times New Roman;Times;serif" w:hAnsi="Times New Roman;Times;serif"/>
          <w:b/>
          <w:sz w:val="20"/>
        </w:rPr>
        <w:t>Consolidated balance sheets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2" w:name="Tc_NRRnZe7EMk62vgoSpzNMjA_34_5"/>
      <w:bookmarkStart w:id="23" w:name="Tc_-ioeiCYWYEa28gVevXX93Q_34_2"/>
      <w:bookmarkStart w:id="24" w:name="Tc_D5zsnWZSoEK3vHl3tsLVkw_33_0"/>
      <w:bookmarkStart w:id="25" w:name="Tc_sCh5JWb_yEKD8cfT5OeBpA_32_0"/>
      <w:bookmarkStart w:id="26" w:name="Tc_uWT6gD0mSEu4PpIDkptlug_31_0"/>
      <w:bookmarkStart w:id="27" w:name="Tc_nalXou19_k2iSfGn-gxSug_30_0"/>
      <w:bookmarkStart w:id="28" w:name="Tc_Qa4b7lsU60m5Z8xMASk5HQ_29_0"/>
      <w:bookmarkStart w:id="29" w:name="Tc_uS5OoMEm4kC1Clsf1EDLSA_28_0"/>
      <w:bookmarkStart w:id="30" w:name="Tc_-rgccuiElk6PeZ5HkULvaQ_27_0"/>
      <w:bookmarkStart w:id="31" w:name="Tc_GhioiAB26UWpcxdqrE_pwg_26_6"/>
      <w:bookmarkStart w:id="32" w:name="Tc_W3qX_pzrKEmGBh1S72hUwQ_26_0"/>
      <w:bookmarkStart w:id="33" w:name="Tc_qGSKgaVeMEOWJHVKNgiFlA_25_0"/>
      <w:bookmarkStart w:id="34" w:name="Tc_ikTihIlJbUigIRKLcQr2_A_24_0"/>
      <w:bookmarkStart w:id="35" w:name="Tc_jRUWloAUmUC0xstXZvaEqw_23_0"/>
      <w:bookmarkStart w:id="36" w:name="Tc_35AnJ2RjNUWdBpRHMoRD5A_22_0"/>
      <w:bookmarkStart w:id="37" w:name="Tc_fuwiJ-OdoUe6erC5pSmjHg_21_0"/>
      <w:bookmarkStart w:id="38" w:name="Tc__6DoGBKgbkOOhl_Ky-o5TA_20_5"/>
      <w:bookmarkStart w:id="39" w:name="Tc_xvDJ-JuTSU-MScBUy4pUWw_20_2"/>
      <w:bookmarkStart w:id="40" w:name="Tc_O8vzrf4PEECc-crNlDCDAw_20_0"/>
      <w:bookmarkStart w:id="41" w:name="Tc_ok0ApgKBG0qKhb3zh0d6Bw_19_0"/>
      <w:bookmarkStart w:id="42" w:name="Tc_oXLeyY7sFkOXZRdhZDzZvw_18_0"/>
      <w:bookmarkStart w:id="43" w:name="Tc_m1E9i3Bv7UKuU7C7Yu8H2Q_17_5"/>
      <w:bookmarkStart w:id="44" w:name="Tc_U0R4EYOhE0esc65t12UUtQ_17_2"/>
      <w:bookmarkStart w:id="45" w:name="Tc_GNzB05-DAUyld6IXchb75A_16_0"/>
      <w:bookmarkStart w:id="46" w:name="Tc_PTQSGsFP1kCupNe6YQuG3w_15_0"/>
      <w:bookmarkStart w:id="47" w:name="Tc_Lb7QSAJpSEicRizYjGtqsg_14_0"/>
      <w:bookmarkStart w:id="48" w:name="Tc_DvYob1o7OEGVRNDfpAC8jw_13_0"/>
      <w:bookmarkStart w:id="49" w:name="Tc_pR1_Lew-HEa5tJhyIwl0VA_12_0"/>
      <w:bookmarkStart w:id="50" w:name="Tc_L-EH5VsGoUmiV5pdqjdSUQ_11_0"/>
      <w:bookmarkStart w:id="51" w:name="Tc_PXhBuEaJgEOdQ-lqU7byjw_10_0"/>
      <w:bookmarkStart w:id="52" w:name="Tc_wPXLD3K5k0qE5iH-GffZnQ_9_0"/>
      <w:bookmarkStart w:id="53" w:name="Tc_u6kq0di0bkSijGrmkMyfBA_8_0"/>
      <w:bookmarkStart w:id="54" w:name="Tc_hG1OVMaufkedrgMU1L3MVw_7_0"/>
      <w:bookmarkStart w:id="55" w:name="Tc_Vr9EDkaVZk-G9tRBOAKIyA_6_0"/>
      <w:bookmarkStart w:id="56" w:name="Tc_E7SYRkxGWU-5meyARt6qMQ_5_5"/>
      <w:bookmarkStart w:id="57" w:name="Tc_8E_FR5-G10m6DtbCtg3G0g_5_2"/>
      <w:bookmarkStart w:id="58" w:name="Tc_grp_GPr7gEutd5U5x6rVQQ_5_0"/>
      <w:bookmarkStart w:id="59" w:name="Tc_9m9QGexb30i2tyYpike2rw_4_0"/>
      <w:bookmarkStart w:id="60" w:name="Tc_zOiqGyn4qEeeCUnDqNZ7MQ_3_0"/>
      <w:bookmarkStart w:id="61" w:name="Tc_A947VmyeIkGUGEn8hS4-7Q_2_5"/>
      <w:bookmarkStart w:id="62" w:name="Tc_OYX-qZS9HECZ-edefmWETQ_2_2"/>
      <w:bookmarkStart w:id="63" w:name="Tc_cmgcOH4f_UyANW0EN88x9w_1_5"/>
      <w:bookmarkStart w:id="64" w:name="Tc_SHag9w-_jUqfiIRMo6qL_w_1_2"/>
      <w:bookmarkStart w:id="65" w:name="_f0ce3371_2ecd_4b0a_bdc0_02f2c700977b"/>
      <w:bookmarkStart w:id="66" w:name="Tc_NRRnZe7EMk62vgoSpzNMjA_34_5"/>
      <w:bookmarkStart w:id="67" w:name="Tc_-ioeiCYWYEa28gVevXX93Q_34_2"/>
      <w:bookmarkStart w:id="68" w:name="Tc_D5zsnWZSoEK3vHl3tsLVkw_33_0"/>
      <w:bookmarkStart w:id="69" w:name="Tc_sCh5JWb_yEKD8cfT5OeBpA_32_0"/>
      <w:bookmarkStart w:id="70" w:name="Tc_uWT6gD0mSEu4PpIDkptlug_31_0"/>
      <w:bookmarkStart w:id="71" w:name="Tc_nalXou19_k2iSfGn-gxSug_30_0"/>
      <w:bookmarkStart w:id="72" w:name="Tc_Qa4b7lsU60m5Z8xMASk5HQ_29_0"/>
      <w:bookmarkStart w:id="73" w:name="Tc_uS5OoMEm4kC1Clsf1EDLSA_28_0"/>
      <w:bookmarkStart w:id="74" w:name="Tc_-rgccuiElk6PeZ5HkULvaQ_27_0"/>
      <w:bookmarkStart w:id="75" w:name="Tc_GhioiAB26UWpcxdqrE_pwg_26_6"/>
      <w:bookmarkStart w:id="76" w:name="Tc_W3qX_pzrKEmGBh1S72hUwQ_26_0"/>
      <w:bookmarkStart w:id="77" w:name="Tc_qGSKgaVeMEOWJHVKNgiFlA_25_0"/>
      <w:bookmarkStart w:id="78" w:name="Tc_ikTihIlJbUigIRKLcQr2_A_24_0"/>
      <w:bookmarkStart w:id="79" w:name="Tc_jRUWloAUmUC0xstXZvaEqw_23_0"/>
      <w:bookmarkStart w:id="80" w:name="Tc_35AnJ2RjNUWdBpRHMoRD5A_22_0"/>
      <w:bookmarkStart w:id="81" w:name="Tc_fuwiJ-OdoUe6erC5pSmjHg_21_0"/>
      <w:bookmarkStart w:id="82" w:name="Tc__6DoGBKgbkOOhl_Ky-o5TA_20_5"/>
      <w:bookmarkStart w:id="83" w:name="Tc_xvDJ-JuTSU-MScBUy4pUWw_20_2"/>
      <w:bookmarkStart w:id="84" w:name="Tc_O8vzrf4PEECc-crNlDCDAw_20_0"/>
      <w:bookmarkStart w:id="85" w:name="Tc_ok0ApgKBG0qKhb3zh0d6Bw_19_0"/>
      <w:bookmarkStart w:id="86" w:name="Tc_oXLeyY7sFkOXZRdhZDzZvw_18_0"/>
      <w:bookmarkStart w:id="87" w:name="Tc_m1E9i3Bv7UKuU7C7Yu8H2Q_17_5"/>
      <w:bookmarkStart w:id="88" w:name="Tc_U0R4EYOhE0esc65t12UUtQ_17_2"/>
      <w:bookmarkStart w:id="89" w:name="Tc_GNzB05-DAUyld6IXchb75A_16_0"/>
      <w:bookmarkStart w:id="90" w:name="Tc_PTQSGsFP1kCupNe6YQuG3w_15_0"/>
      <w:bookmarkStart w:id="91" w:name="Tc_Lb7QSAJpSEicRizYjGtqsg_14_0"/>
      <w:bookmarkStart w:id="92" w:name="Tc_DvYob1o7OEGVRNDfpAC8jw_13_0"/>
      <w:bookmarkStart w:id="93" w:name="Tc_pR1_Lew-HEa5tJhyIwl0VA_12_0"/>
      <w:bookmarkStart w:id="94" w:name="Tc_L-EH5VsGoUmiV5pdqjdSUQ_11_0"/>
      <w:bookmarkStart w:id="95" w:name="Tc_PXhBuEaJgEOdQ-lqU7byjw_10_0"/>
      <w:bookmarkStart w:id="96" w:name="Tc_wPXLD3K5k0qE5iH-GffZnQ_9_0"/>
      <w:bookmarkStart w:id="97" w:name="Tc_u6kq0di0bkSijGrmkMyfBA_8_0"/>
      <w:bookmarkStart w:id="98" w:name="Tc_hG1OVMaufkedrgMU1L3MVw_7_0"/>
      <w:bookmarkStart w:id="99" w:name="Tc_Vr9EDkaVZk-G9tRBOAKIyA_6_0"/>
      <w:bookmarkStart w:id="100" w:name="Tc_E7SYRkxGWU-5meyARt6qMQ_5_5"/>
      <w:bookmarkStart w:id="101" w:name="Tc_8E_FR5-G10m6DtbCtg3G0g_5_2"/>
      <w:bookmarkStart w:id="102" w:name="Tc_grp_GPr7gEutd5U5x6rVQQ_5_0"/>
      <w:bookmarkStart w:id="103" w:name="Tc_9m9QGexb30i2tyYpike2rw_4_0"/>
      <w:bookmarkStart w:id="104" w:name="Tc_zOiqGyn4qEeeCUnDqNZ7MQ_3_0"/>
      <w:bookmarkStart w:id="105" w:name="Tc_A947VmyeIkGUGEn8hS4-7Q_2_5"/>
      <w:bookmarkStart w:id="106" w:name="Tc_OYX-qZS9HECZ-edefmWETQ_2_2"/>
      <w:bookmarkStart w:id="107" w:name="Tc_cmgcOH4f_UyANW0EN88x9w_1_5"/>
      <w:bookmarkStart w:id="108" w:name="Tc_SHag9w-_jUqfiIRMo6qL_w_1_2"/>
      <w:bookmarkStart w:id="109" w:name="_f0ce3371_2ecd_4b0a_bdc0_02f2c700977b"/>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tbl>
      <w:tblPr>
        <w:tblW w:w="7327" w:type="dxa"/>
        <w:jc w:val="left"/>
        <w:tblInd w:w="0" w:type="dxa"/>
        <w:tblLayout w:type="fixed"/>
        <w:tblCellMar>
          <w:top w:w="0" w:type="dxa"/>
          <w:left w:w="0" w:type="dxa"/>
          <w:bottom w:w="0" w:type="dxa"/>
          <w:right w:w="0" w:type="dxa"/>
        </w:tblCellMar>
      </w:tblPr>
      <w:tblGrid>
        <w:gridCol w:w="4231"/>
        <w:gridCol w:w="326"/>
        <w:gridCol w:w="219"/>
        <w:gridCol w:w="966"/>
        <w:gridCol w:w="326"/>
        <w:gridCol w:w="211"/>
        <w:gridCol w:w="1048"/>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686685" cy="175260"/>
                      <wp:effectExtent l="0" t="0" r="0" b="0"/>
                      <wp:wrapNone/>
                      <wp:docPr id="2" name="Frame2"/>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9065" cy="175260"/>
                      <wp:effectExtent l="0" t="0" r="0" b="0"/>
                      <wp:wrapNone/>
                      <wp:docPr id="4" name="Frame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13410" cy="175260"/>
                      <wp:effectExtent l="0" t="0" r="0" b="0"/>
                      <wp:wrapNone/>
                      <wp:docPr id="5" name="Frame5"/>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5480" cy="175260"/>
                      <wp:effectExtent l="0" t="0" r="0" b="0"/>
                      <wp:wrapNone/>
                      <wp:docPr id="8" name="Frame8"/>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3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68,221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808,274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unconsolidated affiliates</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317,392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Right-of-use assets, operating leases </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65,362</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1,330,495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1,325,850</w:t>
            </w:r>
          </w:p>
        </w:tc>
      </w:tr>
      <w:tr>
        <w:trPr/>
        <w:tc>
          <w:tcPr>
            <w:tcW w:w="4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payable</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11,089</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 liabilities </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debt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69,217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Long-term operating lease liabilities </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debt issuance costs</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1,582,590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1,407,908</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1,730,781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1,525,151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14)</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interest</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(199,301)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(199,301)</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1,330,495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1,325,850</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consolidated financial statements (unaudited). </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10" w:name="_8fc43d46_7b33_4e8f_b99f_389b85539934"/>
      <w:bookmarkEnd w:id="110"/>
      <w:r>
        <w:rPr>
          <w:rFonts w:ascii="Times New Roman;Times;serif" w:hAnsi="Times New Roman;Times;serif"/>
          <w:b/>
          <w:sz w:val="20"/>
        </w:rPr>
        <w:t>TransMontaigne Partners LLC and subsidiaries</w:t>
      </w:r>
    </w:p>
    <w:p>
      <w:pPr>
        <w:pStyle w:val="TextBody"/>
        <w:bidi w:val="0"/>
        <w:spacing w:before="0" w:after="120"/>
        <w:ind w:left="0" w:right="0" w:hanging="0"/>
        <w:jc w:val="center"/>
        <w:rPr>
          <w:rFonts w:ascii="Times New Roman;Times;serif" w:hAnsi="Times New Roman;Times;serif"/>
          <w:b/>
          <w:sz w:val="20"/>
        </w:rPr>
      </w:pPr>
      <w:bookmarkStart w:id="111" w:name="Consolidatedstatementsofcomprehensiveinc"/>
      <w:bookmarkEnd w:id="111"/>
      <w:r>
        <w:rPr>
          <w:rFonts w:ascii="Times New Roman;Times;serif" w:hAnsi="Times New Roman;Times;serif"/>
          <w:b/>
          <w:sz w:val="20"/>
        </w:rPr>
        <w:t>Consolidated statements of operations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112" w:name="Tc_kNURU7lKM02HJgnW4lzRdw_22_11"/>
      <w:bookmarkStart w:id="113" w:name="Tc_qpv8oMIGDkqtQz8iOoB5RQ_22_8"/>
      <w:bookmarkStart w:id="114" w:name="Tc_LdI-CmCVR0KwNOn6Ys6PhA_22_5"/>
      <w:bookmarkStart w:id="115" w:name="Tc_O0xKW9dILEqVY02ZPvyyGg_22_2"/>
      <w:bookmarkStart w:id="116" w:name="Tc_7JBwTTt-G0KdO0Q2qnzatg_22_0"/>
      <w:bookmarkStart w:id="117" w:name="Tc_bQC50hdIx0CwPk-niCYN8g_21_0"/>
      <w:bookmarkStart w:id="118" w:name="Tc_cV7o6litZ02GLbdMzr4Log_20_0"/>
      <w:bookmarkStart w:id="119" w:name="Tc_HbDs8BICbEev62NHO0t0tA_19_0"/>
      <w:bookmarkStart w:id="120" w:name="Tc_yQguhNiOoUe1W-zWSKmekQ_18_0"/>
      <w:bookmarkStart w:id="121" w:name="Tc_ta_eAvbHaE-AtziYtkDccw_17_0"/>
      <w:bookmarkStart w:id="122" w:name="Tc_70L3UjyhCk2ujiGQAIN7Ng_16_0"/>
      <w:bookmarkStart w:id="123" w:name="Tc_ES4DcvVeikqLD_w83MhJ2A_15_0"/>
      <w:bookmarkStart w:id="124" w:name="Tc_sCjr0gUn6Uuw8hn6P3jxPA_14_0"/>
      <w:bookmarkStart w:id="125" w:name="Tc_qE3XImx7_kiNlTwIMG1ZVQ_13_0"/>
      <w:bookmarkStart w:id="126" w:name="Tc_Jw-zZVYvt0eW4C_QyHbMXQ_12_0"/>
      <w:bookmarkStart w:id="127" w:name="Tc_SQNND76BkkOXs0moymra9w_11_0"/>
      <w:bookmarkStart w:id="128" w:name="Tc_Zqb_l72l7Uy3fLOk4mK5qw_10_0"/>
      <w:bookmarkStart w:id="129" w:name="Tc_ODEM8mDcRUaBcvJZpJHnfg_9_0"/>
      <w:bookmarkStart w:id="130" w:name="Tc_FS6qgmlXEESZAXz-A7Br2A_8_0"/>
      <w:bookmarkStart w:id="131" w:name="Tc_P8pun6ps20uKWDJvJYoIxA_7_0"/>
      <w:bookmarkStart w:id="132" w:name="Tc_U84e6vc60U2Af9ngOdsnCA_6_0"/>
      <w:bookmarkStart w:id="133" w:name="Tc_pGIZ3aMZikKJo4N4Qax6Qg_5_11"/>
      <w:bookmarkStart w:id="134" w:name="Tc_6QFCeD5fbE2m3p68QeR1bw_5_8"/>
      <w:bookmarkStart w:id="135" w:name="Tc_ALo_XWcl60eYqFHTfgTyZw_5_5"/>
      <w:bookmarkStart w:id="136" w:name="Tc_7V7sgSga3UOL95XZ0y_mfg_5_2"/>
      <w:bookmarkStart w:id="137" w:name="Tc_qEJK1PBRi0qf0jVSFZbcdg_5_0"/>
      <w:bookmarkStart w:id="138" w:name="Tc_V_NeYTuvCkqjkL3bUqCICw_4_0"/>
      <w:bookmarkStart w:id="139" w:name="Tc_WreEqHBr202M6ijOkdhYKg_3_11"/>
      <w:bookmarkStart w:id="140" w:name="Tc_O7vOkfvAqEuYr8iGwPgJLw_3_8"/>
      <w:bookmarkStart w:id="141" w:name="Tc_dAML4CZWuU2TXA4we26kZQ_3_5"/>
      <w:bookmarkStart w:id="142" w:name="Tc_9Hip5QqRakS2bDu_w4Rfsw_3_2"/>
      <w:bookmarkStart w:id="143" w:name="Tc_02j0vbPGC06vmHQ2NWeQfw_2_8"/>
      <w:bookmarkStart w:id="144" w:name="Tc_t6OdML7jPEu53-yEGiwspA_2_2"/>
      <w:bookmarkStart w:id="145" w:name="Tc_b4bGWeJdV0q9ISqzgKX7uA_1_8"/>
      <w:bookmarkStart w:id="146" w:name="Tc_0AScyYLYBk2Et8d0Chu5Kg_1_2"/>
      <w:bookmarkStart w:id="147" w:name="_d107f6cd_a391_49c6_af4b_c2ee6a75191b"/>
      <w:bookmarkStart w:id="148" w:name="Tc_kNURU7lKM02HJgnW4lzRdw_22_11"/>
      <w:bookmarkStart w:id="149" w:name="Tc_qpv8oMIGDkqtQz8iOoB5RQ_22_8"/>
      <w:bookmarkStart w:id="150" w:name="Tc_LdI-CmCVR0KwNOn6Ys6PhA_22_5"/>
      <w:bookmarkStart w:id="151" w:name="Tc_O0xKW9dILEqVY02ZPvyyGg_22_2"/>
      <w:bookmarkStart w:id="152" w:name="Tc_7JBwTTt-G0KdO0Q2qnzatg_22_0"/>
      <w:bookmarkStart w:id="153" w:name="Tc_bQC50hdIx0CwPk-niCYN8g_21_0"/>
      <w:bookmarkStart w:id="154" w:name="Tc_cV7o6litZ02GLbdMzr4Log_20_0"/>
      <w:bookmarkStart w:id="155" w:name="Tc_HbDs8BICbEev62NHO0t0tA_19_0"/>
      <w:bookmarkStart w:id="156" w:name="Tc_yQguhNiOoUe1W-zWSKmekQ_18_0"/>
      <w:bookmarkStart w:id="157" w:name="Tc_ta_eAvbHaE-AtziYtkDccw_17_0"/>
      <w:bookmarkStart w:id="158" w:name="Tc_70L3UjyhCk2ujiGQAIN7Ng_16_0"/>
      <w:bookmarkStart w:id="159" w:name="Tc_ES4DcvVeikqLD_w83MhJ2A_15_0"/>
      <w:bookmarkStart w:id="160" w:name="Tc_sCjr0gUn6Uuw8hn6P3jxPA_14_0"/>
      <w:bookmarkStart w:id="161" w:name="Tc_qE3XImx7_kiNlTwIMG1ZVQ_13_0"/>
      <w:bookmarkStart w:id="162" w:name="Tc_Jw-zZVYvt0eW4C_QyHbMXQ_12_0"/>
      <w:bookmarkStart w:id="163" w:name="Tc_SQNND76BkkOXs0moymra9w_11_0"/>
      <w:bookmarkStart w:id="164" w:name="Tc_Zqb_l72l7Uy3fLOk4mK5qw_10_0"/>
      <w:bookmarkStart w:id="165" w:name="Tc_ODEM8mDcRUaBcvJZpJHnfg_9_0"/>
      <w:bookmarkStart w:id="166" w:name="Tc_FS6qgmlXEESZAXz-A7Br2A_8_0"/>
      <w:bookmarkStart w:id="167" w:name="Tc_P8pun6ps20uKWDJvJYoIxA_7_0"/>
      <w:bookmarkStart w:id="168" w:name="Tc_U84e6vc60U2Af9ngOdsnCA_6_0"/>
      <w:bookmarkStart w:id="169" w:name="Tc_pGIZ3aMZikKJo4N4Qax6Qg_5_11"/>
      <w:bookmarkStart w:id="170" w:name="Tc_6QFCeD5fbE2m3p68QeR1bw_5_8"/>
      <w:bookmarkStart w:id="171" w:name="Tc_ALo_XWcl60eYqFHTfgTyZw_5_5"/>
      <w:bookmarkStart w:id="172" w:name="Tc_7V7sgSga3UOL95XZ0y_mfg_5_2"/>
      <w:bookmarkStart w:id="173" w:name="Tc_qEJK1PBRi0qf0jVSFZbcdg_5_0"/>
      <w:bookmarkStart w:id="174" w:name="Tc_V_NeYTuvCkqjkL3bUqCICw_4_0"/>
      <w:bookmarkStart w:id="175" w:name="Tc_WreEqHBr202M6ijOkdhYKg_3_11"/>
      <w:bookmarkStart w:id="176" w:name="Tc_O7vOkfvAqEuYr8iGwPgJLw_3_8"/>
      <w:bookmarkStart w:id="177" w:name="Tc_dAML4CZWuU2TXA4we26kZQ_3_5"/>
      <w:bookmarkStart w:id="178" w:name="Tc_9Hip5QqRakS2bDu_w4Rfsw_3_2"/>
      <w:bookmarkStart w:id="179" w:name="Tc_02j0vbPGC06vmHQ2NWeQfw_2_8"/>
      <w:bookmarkStart w:id="180" w:name="Tc_t6OdML7jPEu53-yEGiwspA_2_2"/>
      <w:bookmarkStart w:id="181" w:name="Tc_b4bGWeJdV0q9ISqzgKX7uA_1_8"/>
      <w:bookmarkStart w:id="182" w:name="Tc_0AScyYLYBk2Et8d0Chu5Kg_1_2"/>
      <w:bookmarkStart w:id="183" w:name="_d107f6cd_a391_49c6_af4b_c2ee6a75191b"/>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tbl>
      <w:tblPr>
        <w:tblW w:w="9113" w:type="dxa"/>
        <w:jc w:val="left"/>
        <w:tblInd w:w="0" w:type="dxa"/>
        <w:tblLayout w:type="fixed"/>
        <w:tblCellMar>
          <w:top w:w="0" w:type="dxa"/>
          <w:left w:w="0" w:type="dxa"/>
          <w:bottom w:w="0" w:type="dxa"/>
          <w:right w:w="0" w:type="dxa"/>
        </w:tblCellMar>
      </w:tblPr>
      <w:tblGrid>
        <w:gridCol w:w="3316"/>
        <w:gridCol w:w="326"/>
        <w:gridCol w:w="211"/>
        <w:gridCol w:w="901"/>
        <w:gridCol w:w="326"/>
        <w:gridCol w:w="211"/>
        <w:gridCol w:w="901"/>
        <w:gridCol w:w="326"/>
        <w:gridCol w:w="211"/>
        <w:gridCol w:w="901"/>
        <w:gridCol w:w="326"/>
        <w:gridCol w:w="211"/>
        <w:gridCol w:w="94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05660" cy="175260"/>
                      <wp:effectExtent l="0" t="0" r="0" b="0"/>
                      <wp:wrapNone/>
                      <wp:docPr id="9" name="Frame9"/>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72135" cy="175260"/>
                      <wp:effectExtent l="0" t="0" r="0" b="0"/>
                      <wp:wrapNone/>
                      <wp:docPr id="12" name="Frame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72135" cy="175260"/>
                      <wp:effectExtent l="0" t="0" r="0" b="0"/>
                      <wp:wrapNone/>
                      <wp:docPr id="15" name="Frame1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2135" cy="175260"/>
                      <wp:effectExtent l="0" t="0" r="0" b="0"/>
                      <wp:wrapNone/>
                      <wp:docPr id="18" name="Frame1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00710" cy="175260"/>
                      <wp:effectExtent l="0" t="0" r="0" b="0"/>
                      <wp:wrapNone/>
                      <wp:docPr id="21" name="Frame2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left"/>
              <w:rPr/>
            </w:pPr>
            <w:r>
              <w:rPr/>
              <w:t>    </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242,400</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290,568</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496,111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532,968</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Costs and expenses: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(271,850)</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(98,500)</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(23,486)</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Insurance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compensation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(3,165)</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(53,386)</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(424,535)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(455,512)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11,552</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89,008</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(86,950)</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(90,393)</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consolidated financial statements (unaudited). </w:t>
      </w:r>
    </w:p>
    <w:p>
      <w:pPr>
        <w:pStyle w:val="TextBody"/>
        <w:bidi w:val="0"/>
        <w:spacing w:before="0" w:after="12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84" w:name="_387d1c40_a845_4aa9_9239_d5069d0072e9"/>
      <w:bookmarkEnd w:id="184"/>
      <w:r>
        <w:rPr>
          <w:rFonts w:ascii="Times New Roman;Times;serif" w:hAnsi="Times New Roman;Times;serif"/>
          <w:b/>
          <w:sz w:val="20"/>
        </w:rPr>
        <w:t>TransMontaigne Partners LLC and subsidiaries</w:t>
      </w:r>
    </w:p>
    <w:p>
      <w:pPr>
        <w:pStyle w:val="TextBody"/>
        <w:bidi w:val="0"/>
        <w:spacing w:before="0" w:after="120"/>
        <w:ind w:left="0" w:right="0" w:hanging="0"/>
        <w:jc w:val="center"/>
        <w:rPr>
          <w:rFonts w:ascii="Times New Roman;Times;serif" w:hAnsi="Times New Roman;Times;serif"/>
          <w:b/>
          <w:sz w:val="20"/>
        </w:rPr>
      </w:pPr>
      <w:bookmarkStart w:id="185" w:name="Consolidatedstatementsofpartnersequity_3"/>
      <w:bookmarkEnd w:id="185"/>
      <w:r>
        <w:rPr>
          <w:rFonts w:ascii="Times New Roman;Times;serif" w:hAnsi="Times New Roman;Times;serif"/>
          <w:b/>
          <w:sz w:val="20"/>
        </w:rPr>
        <w:t>Consolidated statements of equity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186" w:name="Tc_PhQtB2inpUKoCSSmqI7jZA_25_5"/>
      <w:bookmarkStart w:id="187" w:name="Tc_42JlleJq2Ue020nWVNN8Xw_25_2"/>
      <w:bookmarkStart w:id="188" w:name="Tc_32szdeT_YU6N7A1YmV8qgQ_25_0"/>
      <w:bookmarkStart w:id="189" w:name="Tc_APO11MqXCE2IZJikwLBWyQ_24_0"/>
      <w:bookmarkStart w:id="190" w:name="Tc_ueGDTQ6lVEWxLWDnDpzq9A_23_0"/>
      <w:bookmarkStart w:id="191" w:name="Tc_vKL__ZsWBEqFrLP6Qy8aAw_22_0"/>
      <w:bookmarkStart w:id="192" w:name="Tc_MzuLVdPumkGwkiVVrSZH8Q_21_5"/>
      <w:bookmarkStart w:id="193" w:name="Tc_XRf28OteWUaeLvce9iVOJQ_21_2"/>
      <w:bookmarkStart w:id="194" w:name="Tc_QOvSvYIP6EqjZp3yBamm3Q_21_0"/>
      <w:bookmarkStart w:id="195" w:name="Tc_Q_d6613nFUGtYd7dbF4izQ_19_5"/>
      <w:bookmarkStart w:id="196" w:name="Tc_a78N6Piz2kC7IFNjp3iSJA_19_2"/>
      <w:bookmarkStart w:id="197" w:name="Tc_hAgMSc4yq06FD3GiBCc-Bg_19_0"/>
      <w:bookmarkStart w:id="198" w:name="Tc_bcW1b2L7x02MJ12LpW8o_A_18_0"/>
      <w:bookmarkStart w:id="199" w:name="Tc_FXZzf6oR70asFu5kVCUrwA_17_0"/>
      <w:bookmarkStart w:id="200" w:name="Tc_HVSnqo4Ed0K5xZzCOAbV0Q_16_0"/>
      <w:bookmarkStart w:id="201" w:name="Tc_ipIx2A0N20-O6SE-IAIwiA_15_5"/>
      <w:bookmarkStart w:id="202" w:name="Tc_0TyVg2MlD0OXQ2hFKrHvgw_15_2"/>
      <w:bookmarkStart w:id="203" w:name="Tc__w09hgWtUUmulifuQ9XAcw_15_0"/>
      <w:bookmarkStart w:id="204" w:name="Tc_JTg76sUIY0K4umdUDULffg_13_5"/>
      <w:bookmarkStart w:id="205" w:name="Tc__1ePnHNHZUihH2rkMN4iPg_13_2"/>
      <w:bookmarkStart w:id="206" w:name="Tc_9vRIjaUMkkeJNrjWP4ckrw_13_0"/>
      <w:bookmarkStart w:id="207" w:name="Tc_KozbRJHeWEatrpgyecCsBA_12_0"/>
      <w:bookmarkStart w:id="208" w:name="Tc_3m-EU9kGYUe48awVdbo2tA_11_0"/>
      <w:bookmarkStart w:id="209" w:name="Tc_L6NXfC0ACUmw1NyBCu5JVQ_10_0"/>
      <w:bookmarkStart w:id="210" w:name="Tc_lfjkETucs0u05ZfFNc7bOg_9_5"/>
      <w:bookmarkStart w:id="211" w:name="Tc_Zs1roKapSk68nbtZphaVZA_9_2"/>
      <w:bookmarkStart w:id="212" w:name="Tc_4Bk1RazctEyB54kWGnvPRw_9_0"/>
      <w:bookmarkStart w:id="213" w:name="Tc_wLQY-pNUJEmAaKJLE5nSSw_7_5"/>
      <w:bookmarkStart w:id="214" w:name="Tc_zpcBmothXk6iN_nngxde3g_7_2"/>
      <w:bookmarkStart w:id="215" w:name="Tc_osyiJR0VF0WWUFWp8IDedw_7_0"/>
      <w:bookmarkStart w:id="216" w:name="Tc_dxdFg-R96UCeg1QTZE53Bg_6_0"/>
      <w:bookmarkStart w:id="217" w:name="Tc_OlDb4PeMckaaB_hlwWvM3g_5_0"/>
      <w:bookmarkStart w:id="218" w:name="Tc_3JZqmIMJCkmq2_89XvrcnA_4_0"/>
      <w:bookmarkStart w:id="219" w:name="Tc_-pamNfE6_EOGel29egXitg_3_5"/>
      <w:bookmarkStart w:id="220" w:name="Tc_FKQMUUuNYUOKiMK1i2nkJg_3_2"/>
      <w:bookmarkStart w:id="221" w:name="Tc_p1saF4Nehkq_gV5yBIR5cA_3_0"/>
      <w:bookmarkStart w:id="222" w:name="Tc_Oin9Rmu5a0Cox9HUU1tnhQ_2_5"/>
      <w:bookmarkStart w:id="223" w:name="Tc_BRVoB8h9zkO3c27U2xgW8A_2_2"/>
      <w:bookmarkStart w:id="224" w:name="Tc_b6qcOJsE3kuf1tN05fOezA_1_2"/>
      <w:bookmarkStart w:id="225" w:name="_09741c2f_767c_4393_a6d3_85676e41a8a9"/>
      <w:bookmarkStart w:id="226" w:name="Tc_PhQtB2inpUKoCSSmqI7jZA_25_5"/>
      <w:bookmarkStart w:id="227" w:name="Tc_42JlleJq2Ue020nWVNN8Xw_25_2"/>
      <w:bookmarkStart w:id="228" w:name="Tc_32szdeT_YU6N7A1YmV8qgQ_25_0"/>
      <w:bookmarkStart w:id="229" w:name="Tc_APO11MqXCE2IZJikwLBWyQ_24_0"/>
      <w:bookmarkStart w:id="230" w:name="Tc_ueGDTQ6lVEWxLWDnDpzq9A_23_0"/>
      <w:bookmarkStart w:id="231" w:name="Tc_vKL__ZsWBEqFrLP6Qy8aAw_22_0"/>
      <w:bookmarkStart w:id="232" w:name="Tc_MzuLVdPumkGwkiVVrSZH8Q_21_5"/>
      <w:bookmarkStart w:id="233" w:name="Tc_XRf28OteWUaeLvce9iVOJQ_21_2"/>
      <w:bookmarkStart w:id="234" w:name="Tc_QOvSvYIP6EqjZp3yBamm3Q_21_0"/>
      <w:bookmarkStart w:id="235" w:name="Tc_Q_d6613nFUGtYd7dbF4izQ_19_5"/>
      <w:bookmarkStart w:id="236" w:name="Tc_a78N6Piz2kC7IFNjp3iSJA_19_2"/>
      <w:bookmarkStart w:id="237" w:name="Tc_hAgMSc4yq06FD3GiBCc-Bg_19_0"/>
      <w:bookmarkStart w:id="238" w:name="Tc_bcW1b2L7x02MJ12LpW8o_A_18_0"/>
      <w:bookmarkStart w:id="239" w:name="Tc_FXZzf6oR70asFu5kVCUrwA_17_0"/>
      <w:bookmarkStart w:id="240" w:name="Tc_HVSnqo4Ed0K5xZzCOAbV0Q_16_0"/>
      <w:bookmarkStart w:id="241" w:name="Tc_ipIx2A0N20-O6SE-IAIwiA_15_5"/>
      <w:bookmarkStart w:id="242" w:name="Tc_0TyVg2MlD0OXQ2hFKrHvgw_15_2"/>
      <w:bookmarkStart w:id="243" w:name="Tc__w09hgWtUUmulifuQ9XAcw_15_0"/>
      <w:bookmarkStart w:id="244" w:name="Tc_JTg76sUIY0K4umdUDULffg_13_5"/>
      <w:bookmarkStart w:id="245" w:name="Tc__1ePnHNHZUihH2rkMN4iPg_13_2"/>
      <w:bookmarkStart w:id="246" w:name="Tc_9vRIjaUMkkeJNrjWP4ckrw_13_0"/>
      <w:bookmarkStart w:id="247" w:name="Tc_KozbRJHeWEatrpgyecCsBA_12_0"/>
      <w:bookmarkStart w:id="248" w:name="Tc_3m-EU9kGYUe48awVdbo2tA_11_0"/>
      <w:bookmarkStart w:id="249" w:name="Tc_L6NXfC0ACUmw1NyBCu5JVQ_10_0"/>
      <w:bookmarkStart w:id="250" w:name="Tc_lfjkETucs0u05ZfFNc7bOg_9_5"/>
      <w:bookmarkStart w:id="251" w:name="Tc_Zs1roKapSk68nbtZphaVZA_9_2"/>
      <w:bookmarkStart w:id="252" w:name="Tc_4Bk1RazctEyB54kWGnvPRw_9_0"/>
      <w:bookmarkStart w:id="253" w:name="Tc_wLQY-pNUJEmAaKJLE5nSSw_7_5"/>
      <w:bookmarkStart w:id="254" w:name="Tc_zpcBmothXk6iN_nngxde3g_7_2"/>
      <w:bookmarkStart w:id="255" w:name="Tc_osyiJR0VF0WWUFWp8IDedw_7_0"/>
      <w:bookmarkStart w:id="256" w:name="Tc_dxdFg-R96UCeg1QTZE53Bg_6_0"/>
      <w:bookmarkStart w:id="257" w:name="Tc_OlDb4PeMckaaB_hlwWvM3g_5_0"/>
      <w:bookmarkStart w:id="258" w:name="Tc_3JZqmIMJCkmq2_89XvrcnA_4_0"/>
      <w:bookmarkStart w:id="259" w:name="Tc_-pamNfE6_EOGel29egXitg_3_5"/>
      <w:bookmarkStart w:id="260" w:name="Tc_FKQMUUuNYUOKiMK1i2nkJg_3_2"/>
      <w:bookmarkStart w:id="261" w:name="Tc_p1saF4Nehkq_gV5yBIR5cA_3_0"/>
      <w:bookmarkStart w:id="262" w:name="Tc_Oin9Rmu5a0Cox9HUU1tnhQ_2_5"/>
      <w:bookmarkStart w:id="263" w:name="Tc_BRVoB8h9zkO3c27U2xgW8A_2_2"/>
      <w:bookmarkStart w:id="264" w:name="Tc_b6qcOJsE3kuf1tN05fOezA_1_2"/>
      <w:bookmarkStart w:id="265" w:name="_09741c2f_767c_4393_a6d3_85676e41a8a9"/>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tbl>
      <w:tblPr>
        <w:tblW w:w="7947" w:type="dxa"/>
        <w:jc w:val="left"/>
        <w:tblInd w:w="0" w:type="dxa"/>
        <w:tblLayout w:type="fixed"/>
        <w:tblCellMar>
          <w:top w:w="0" w:type="dxa"/>
          <w:left w:w="0" w:type="dxa"/>
          <w:bottom w:w="0" w:type="dxa"/>
          <w:right w:w="0" w:type="dxa"/>
        </w:tblCellMar>
      </w:tblPr>
      <w:tblGrid>
        <w:gridCol w:w="5026"/>
        <w:gridCol w:w="326"/>
        <w:gridCol w:w="211"/>
        <w:gridCol w:w="901"/>
        <w:gridCol w:w="326"/>
        <w:gridCol w:w="211"/>
        <w:gridCol w:w="94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191510" cy="175260"/>
                      <wp:effectExtent l="0" t="0" r="0" b="0"/>
                      <wp:wrapNone/>
                      <wp:docPr id="22" name="Frame22"/>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72135" cy="175260"/>
                      <wp:effectExtent l="0" t="0" r="0" b="0"/>
                      <wp:wrapNone/>
                      <wp:docPr id="25" name="Frame2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00710" cy="175260"/>
                      <wp:effectExtent l="0" t="0" r="0" b="0"/>
                      <wp:wrapNone/>
                      <wp:docPr id="28" name="Frame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Member</w:t>
            </w:r>
          </w:p>
        </w:tc>
        <w:tc>
          <w:tcPr>
            <w:tcW w:w="3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(173,539)</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from parent entities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TLP Finance Holdings, LLC for debt service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(10,754)</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three months ended September 30, 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(19,417)</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(203,444)</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(392,085)</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from parent entities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TLP Finance Holdings, LLC for debt service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three months ended September 30, 2025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(8,259)</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(400,286)</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(122,916)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(122,916)</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from parent entities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TLP Finance Holdings, LLC for debt service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(80,767)</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nine months ended September 30, 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(203,444)</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(199,301)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(199,301)</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from parent entities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TLP Finance Holdings, LLC for debt service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(172,997)</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nine months ended September 30, 2025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(28,493)</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(400,286)</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center"/>
        <w:rPr>
          <w:rFonts w:ascii="Times New Roman;Times;serif" w:hAnsi="Times New Roman;Times;serif"/>
          <w:b/>
          <w:sz w:val="19"/>
        </w:rPr>
      </w:pPr>
      <w:bookmarkStart w:id="266" w:name="_db53d636_2cab_4691_983f_08480e0512c9"/>
      <w:bookmarkEnd w:id="266"/>
      <w:r>
        <w:rPr>
          <w:rFonts w:ascii="Times New Roman;Times;serif" w:hAnsi="Times New Roman;Times;serif"/>
          <w:b/>
          <w:sz w:val="19"/>
        </w:rPr>
        <w:t>TransMontaigne Partners LLC and subsidiaries</w:t>
      </w:r>
    </w:p>
    <w:p>
      <w:pPr>
        <w:pStyle w:val="TextBody"/>
        <w:bidi w:val="0"/>
        <w:spacing w:before="0" w:after="80"/>
        <w:ind w:left="0" w:right="0" w:hanging="0"/>
        <w:jc w:val="center"/>
        <w:rPr>
          <w:rFonts w:ascii="Times New Roman;Times;serif" w:hAnsi="Times New Roman;Times;serif"/>
          <w:sz w:val="18"/>
        </w:rPr>
      </w:pPr>
      <w:bookmarkStart w:id="267" w:name="Consolidatedstatementsofcashflows_103161"/>
      <w:bookmarkEnd w:id="267"/>
      <w:r>
        <w:rPr>
          <w:rFonts w:ascii="Times New Roman;Times;serif" w:hAnsi="Times New Roman;Times;serif"/>
          <w:b/>
          <w:sz w:val="19"/>
        </w:rPr>
        <w:t>Consolidated statements of cash flows (unaudited)</w:t>
      </w:r>
      <w:r>
        <w:rPr>
          <w:rFonts w:ascii="Times New Roman;Times;serif" w:hAnsi="Times New Roman;Times;serif"/>
          <w:sz w:val="18"/>
        </w:rPr>
        <w:t xml:space="preserve"> </w:t>
      </w:r>
    </w:p>
    <w:p>
      <w:pPr>
        <w:pStyle w:val="TextBody"/>
        <w:bidi w:val="0"/>
        <w:spacing w:before="0" w:after="80"/>
        <w:ind w:left="0" w:right="0" w:hanging="0"/>
        <w:jc w:val="center"/>
        <w:rPr>
          <w:rFonts w:ascii="Times New Roman;Times;serif" w:hAnsi="Times New Roman;Times;serif"/>
          <w:b/>
          <w:sz w:val="19"/>
        </w:rPr>
      </w:pPr>
      <w:r>
        <w:rPr>
          <w:rFonts w:ascii="Times New Roman;Times;serif" w:hAnsi="Times New Roman;Times;serif"/>
          <w:b/>
          <w:sz w:val="19"/>
        </w:rPr>
        <w:t>(In thousands)</w:t>
      </w:r>
    </w:p>
    <w:p>
      <w:pPr>
        <w:pStyle w:val="Normal"/>
        <w:bidi w:val="0"/>
        <w:spacing w:before="0" w:after="0"/>
        <w:jc w:val="left"/>
        <w:rPr>
          <w:sz w:val="4"/>
          <w:szCs w:val="4"/>
        </w:rPr>
      </w:pPr>
      <w:r>
        <w:rPr>
          <w:sz w:val="4"/>
          <w:szCs w:val="4"/>
        </w:rPr>
      </w:r>
      <w:bookmarkStart w:id="268" w:name="Tc_tUNNV4WVi0mDkxw43ODqAA_46_11"/>
      <w:bookmarkStart w:id="269" w:name="Tc_6rOlrcmBDkCBzNoH9E-G5w_46_8"/>
      <w:bookmarkStart w:id="270" w:name="Tc_HrrRmTzBpE-6mLxOqQgObQ_46_5"/>
      <w:bookmarkStart w:id="271" w:name="Tc_K4VtAbidM0imj6Qu7b2row_46_2"/>
      <w:bookmarkStart w:id="272" w:name="Tc_Lqgr0xPAhUKMBI4Gr5V2vQ_46_0"/>
      <w:bookmarkStart w:id="273" w:name="Tc_B7GUxhq9V0OK28eAZO3Skw_45_11"/>
      <w:bookmarkStart w:id="274" w:name="Tc_lPVuncVse0S2B5NtwV1xpg_45_8"/>
      <w:bookmarkStart w:id="275" w:name="Tc_em2-s2wo-EuHHcjHRdEeAQ_45_5"/>
      <w:bookmarkStart w:id="276" w:name="Tc_H-QjqUyFwEmRcnOwNfmwgw_45_2"/>
      <w:bookmarkStart w:id="277" w:name="Tc_w7KS87F-jEa51s3_O2AKjQ_45_0"/>
      <w:bookmarkStart w:id="278" w:name="Tc_I507Q4rzn0G1dozlYRlybQ_44_11"/>
      <w:bookmarkStart w:id="279" w:name="Tc_rFLNVPDiHUGwGuzv9PCfUg_44_8"/>
      <w:bookmarkStart w:id="280" w:name="Tc_6J_NZlE6u0Kezen6uiDAzw_44_5"/>
      <w:bookmarkStart w:id="281" w:name="Tc_lgwGctSO3UuqksQAjJJtvA_44_2"/>
      <w:bookmarkStart w:id="282" w:name="Tc_7Dli5u2ls0uyC83p3k24Ig_44_0"/>
      <w:bookmarkStart w:id="283" w:name="Tc_kIe6e9E4KUu5Q8SSv45Nnw_43_11"/>
      <w:bookmarkStart w:id="284" w:name="Tc_0BFwdoRDt0CoI3pTyJNzlw_43_8"/>
      <w:bookmarkStart w:id="285" w:name="Tc_RBcHwf8BoUimYPh3bFekbQ_43_5"/>
      <w:bookmarkStart w:id="286" w:name="Tc_jonU-9z1vkODBCO_HAWL7A_43_2"/>
      <w:bookmarkStart w:id="287" w:name="Tc_j13NtMRdsEqphcjK44m3YA_43_0"/>
      <w:bookmarkStart w:id="288" w:name="Tc_4aYWNVPUHkqabLJN2UCrxg_42_0"/>
      <w:bookmarkStart w:id="289" w:name="Tc_28hXXHP9YU20IAK2d5UmMQ_41_11"/>
      <w:bookmarkStart w:id="290" w:name="Tc_VeYiuo7JbUGtM-PG_zzatw_41_8"/>
      <w:bookmarkStart w:id="291" w:name="Tc_v7VmyGi9kkmlFhLc_41UiQ_41_5"/>
      <w:bookmarkStart w:id="292" w:name="Tc_G2sWaaj9CkSCEp8h-b4MsQ_41_2"/>
      <w:bookmarkStart w:id="293" w:name="Tc_yBY0DY8Zw0iBXAIl84qOfw_41_0"/>
      <w:bookmarkStart w:id="294" w:name="Tc_pQq3Yfhzz02r9F5Pk_Xzww_40_0"/>
      <w:bookmarkStart w:id="295" w:name="Tc_W-Dr_YS01UeKaGVb0oDW5Q_39_0"/>
      <w:bookmarkStart w:id="296" w:name="Tc_gdYrwpMzUk2VDl6gnOuYUg_38_0"/>
      <w:bookmarkStart w:id="297" w:name="Tc_JJEHb7fnbkK3Pg_xFBL8Qg_37_0"/>
      <w:bookmarkStart w:id="298" w:name="Tc_9NJ79jpPOEq1prlPSlTJOQ_36_0"/>
      <w:bookmarkStart w:id="299" w:name="Tc__X-IscqtZkOpe3WjKg8JCA_35_3"/>
      <w:bookmarkStart w:id="300" w:name="Tc_CODQmjvCn0SaLFm-RyODvw_35_0"/>
      <w:bookmarkStart w:id="301" w:name="Tc_fLxMjcnKuUuDTOrFLQ6kCA_34_3"/>
      <w:bookmarkStart w:id="302" w:name="Tc_A8LCRERTSUqZABduk5shoA_34_0"/>
      <w:bookmarkStart w:id="303" w:name="Tc_VglsE39QAE23J9XnifK8pw_33_9"/>
      <w:bookmarkStart w:id="304" w:name="Tc_XW0GzemlMUmA5A2QhCGQ3w_33_6"/>
      <w:bookmarkStart w:id="305" w:name="Tc_PM-jtdflOk-e-U0VzcBk7Q_33_3"/>
      <w:bookmarkStart w:id="306" w:name="Tc_3hbFBQs6skyAWYeDntgmiQ_33_0"/>
      <w:bookmarkStart w:id="307" w:name="Tc_m7t9oW7ZfU-tSl9ZHhGdpw_32_3"/>
      <w:bookmarkStart w:id="308" w:name="Tc_UZmNIXbu90CZ0uXp28_KvQ_32_0"/>
      <w:bookmarkStart w:id="309" w:name="Tc_xJikMXlnSEmalVt43l_SUA_31_12"/>
      <w:bookmarkStart w:id="310" w:name="Tc_tbhpWqnin0ylVMgF862qGA_31_6"/>
      <w:bookmarkStart w:id="311" w:name="Tc_cRInwRQ1Fka6cwkjDaaRLA_31_3"/>
      <w:bookmarkStart w:id="312" w:name="Tc_K5vgp9QQ4U-hZ_WrKcdC2A_31_0"/>
      <w:bookmarkStart w:id="313" w:name="Tc_ZfZNz0Ls5Um7mjzw9kLwGQ_30_12"/>
      <w:bookmarkStart w:id="314" w:name="Tc_pudlEQ5g1k25QtRLmEeVJQ_30_6"/>
      <w:bookmarkStart w:id="315" w:name="Tc_-Z8_epgGkkmuK9sk8vRKWg_30_3"/>
      <w:bookmarkStart w:id="316" w:name="Tc_Bwo8fX9VskOyDerWk_8-8w_30_0"/>
      <w:bookmarkStart w:id="317" w:name="Tc_vd1H3a-6EUCNDHmtse3jcQ_29_0"/>
      <w:bookmarkStart w:id="318" w:name="Tc_9oJsm8WwB0m0cvPDP6Hi2w_28_0"/>
      <w:bookmarkStart w:id="319" w:name="Tc_ExsRoBBMgECQurCqI7SIAQ_27_0"/>
      <w:bookmarkStart w:id="320" w:name="Tc_R2UdN6sXzkqyELPSmQA3Zg_26_6"/>
      <w:bookmarkStart w:id="321" w:name="Tc_Zzt097NOOUOP-0kfkLFfDw_26_3"/>
      <w:bookmarkStart w:id="322" w:name="Tc_iA7Po8g300O7zlvZFV3g1Q_26_0"/>
      <w:bookmarkStart w:id="323" w:name="Tc_Wqfh49i6RUCigcR1L5s8Rg_25_0"/>
      <w:bookmarkStart w:id="324" w:name="Tc_bgUyLBRUmU6IxD2Okfsl7g_24_0"/>
      <w:bookmarkStart w:id="325" w:name="Tc_4d3gwgdFd0CxiWc-1mNdAQ_23_0"/>
      <w:bookmarkStart w:id="326" w:name="Tc_i80L7uP6PUyNnU3EcBA74A_22_0"/>
      <w:bookmarkStart w:id="327" w:name="Tc_l5chNbABTUS13NveRu7qLQ_21_0"/>
      <w:bookmarkStart w:id="328" w:name="Tc_EMnMcK1kcECH1kSMc9D-Kw_20_0"/>
      <w:bookmarkStart w:id="329" w:name="Tc_LRR2haW7jEi1vbCQNz87cA_19_0"/>
      <w:bookmarkStart w:id="330" w:name="Tc_m1gJBiuT1U61TiynV1TZXg_18_0"/>
      <w:bookmarkStart w:id="331" w:name="Tc_7T3GRb5kckiqLXsuc1hkeA_17_0"/>
      <w:bookmarkStart w:id="332" w:name="Tc_4earIv8g2k-8qUZskF3tdw_16_0"/>
      <w:bookmarkStart w:id="333" w:name="Tc_Txu-lc-Tnku7XTN813gMZw_15_0"/>
      <w:bookmarkStart w:id="334" w:name="Tc_lcmAFB_WWEultJaFwYy10Q_14_0"/>
      <w:bookmarkStart w:id="335" w:name="Tc_ChC3VKP5okiRAoCM9sjWaA_13_0"/>
      <w:bookmarkStart w:id="336" w:name="Tc_saT_1tNCQkGobTQbg5JiGA_12_0"/>
      <w:bookmarkStart w:id="337" w:name="Tc_sfCmVaxQike4iPMtpgBeAg_11_0"/>
      <w:bookmarkStart w:id="338" w:name="Tc_K_FBk5trCUm69_ox7Ii9DA_10_0"/>
      <w:bookmarkStart w:id="339" w:name="Tc_uJEXv8j--EqCbZdpT5-l7A_9_0"/>
      <w:bookmarkStart w:id="340" w:name="Tc_gVinkq-LuUaZhPH4QFdFfA_8_0"/>
      <w:bookmarkStart w:id="341" w:name="Tc_RHAPgf6SrES_VLxPWHrp-g_7_0"/>
      <w:bookmarkStart w:id="342" w:name="Tc_vRDzy33rNkOjzuH_SPTwuA_6_0"/>
      <w:bookmarkStart w:id="343" w:name="Tc_3gIg65hn9EOxK3dlIHQkvw_5_11"/>
      <w:bookmarkStart w:id="344" w:name="Tc_TQ_yXNcHZ0eumoOxdWcMdA_5_8"/>
      <w:bookmarkStart w:id="345" w:name="Tc_vZok2AZk4UaUtjpClaXkhg_5_5"/>
      <w:bookmarkStart w:id="346" w:name="Tc_e7iBD6d-j0egmmetiNICOQ_5_2"/>
      <w:bookmarkStart w:id="347" w:name="Tc_-0qevprneUOFHxYeeUaE9g_5_0"/>
      <w:bookmarkStart w:id="348" w:name="Tc_Pbgf1gzOCk26FDxBTxNZUw_4_0"/>
      <w:bookmarkStart w:id="349" w:name="Tc_w5ec1XPkX02E-40GF7yOVw_3_11"/>
      <w:bookmarkStart w:id="350" w:name="Tc_cD65IYEODEKBycR0suk3rg_3_8"/>
      <w:bookmarkStart w:id="351" w:name="Tc_5pAi2G8RcEyn7vUovewINA_3_5"/>
      <w:bookmarkStart w:id="352" w:name="Tc_odlqLLGEMk21S1TUKZYwKw_3_2"/>
      <w:bookmarkStart w:id="353" w:name="Tc_24AHNKwx90KIYgPy76sm7Q_2_8"/>
      <w:bookmarkStart w:id="354" w:name="Tc_ATJr6hLF-Eu3-VpQu6Bnhw_2_2"/>
      <w:bookmarkStart w:id="355" w:name="Tc_87AJhkHYVkaBJ5rybwvbCA_1_8"/>
      <w:bookmarkStart w:id="356" w:name="Tc_UbugYsLbp0GTHtpWRkxkMQ_1_2"/>
      <w:bookmarkStart w:id="357" w:name="_64fe60f6_6cb6_4aa5_b92f_3592189f6f16"/>
      <w:bookmarkStart w:id="358" w:name="Tc_tUNNV4WVi0mDkxw43ODqAA_46_11"/>
      <w:bookmarkStart w:id="359" w:name="Tc_6rOlrcmBDkCBzNoH9E-G5w_46_8"/>
      <w:bookmarkStart w:id="360" w:name="Tc_HrrRmTzBpE-6mLxOqQgObQ_46_5"/>
      <w:bookmarkStart w:id="361" w:name="Tc_K4VtAbidM0imj6Qu7b2row_46_2"/>
      <w:bookmarkStart w:id="362" w:name="Tc_Lqgr0xPAhUKMBI4Gr5V2vQ_46_0"/>
      <w:bookmarkStart w:id="363" w:name="Tc_B7GUxhq9V0OK28eAZO3Skw_45_11"/>
      <w:bookmarkStart w:id="364" w:name="Tc_lPVuncVse0S2B5NtwV1xpg_45_8"/>
      <w:bookmarkStart w:id="365" w:name="Tc_em2-s2wo-EuHHcjHRdEeAQ_45_5"/>
      <w:bookmarkStart w:id="366" w:name="Tc_H-QjqUyFwEmRcnOwNfmwgw_45_2"/>
      <w:bookmarkStart w:id="367" w:name="Tc_w7KS87F-jEa51s3_O2AKjQ_45_0"/>
      <w:bookmarkStart w:id="368" w:name="Tc_I507Q4rzn0G1dozlYRlybQ_44_11"/>
      <w:bookmarkStart w:id="369" w:name="Tc_rFLNVPDiHUGwGuzv9PCfUg_44_8"/>
      <w:bookmarkStart w:id="370" w:name="Tc_6J_NZlE6u0Kezen6uiDAzw_44_5"/>
      <w:bookmarkStart w:id="371" w:name="Tc_lgwGctSO3UuqksQAjJJtvA_44_2"/>
      <w:bookmarkStart w:id="372" w:name="Tc_7Dli5u2ls0uyC83p3k24Ig_44_0"/>
      <w:bookmarkStart w:id="373" w:name="Tc_kIe6e9E4KUu5Q8SSv45Nnw_43_11"/>
      <w:bookmarkStart w:id="374" w:name="Tc_0BFwdoRDt0CoI3pTyJNzlw_43_8"/>
      <w:bookmarkStart w:id="375" w:name="Tc_RBcHwf8BoUimYPh3bFekbQ_43_5"/>
      <w:bookmarkStart w:id="376" w:name="Tc_jonU-9z1vkODBCO_HAWL7A_43_2"/>
      <w:bookmarkStart w:id="377" w:name="Tc_j13NtMRdsEqphcjK44m3YA_43_0"/>
      <w:bookmarkStart w:id="378" w:name="Tc_4aYWNVPUHkqabLJN2UCrxg_42_0"/>
      <w:bookmarkStart w:id="379" w:name="Tc_28hXXHP9YU20IAK2d5UmMQ_41_11"/>
      <w:bookmarkStart w:id="380" w:name="Tc_VeYiuo7JbUGtM-PG_zzatw_41_8"/>
      <w:bookmarkStart w:id="381" w:name="Tc_v7VmyGi9kkmlFhLc_41UiQ_41_5"/>
      <w:bookmarkStart w:id="382" w:name="Tc_G2sWaaj9CkSCEp8h-b4MsQ_41_2"/>
      <w:bookmarkStart w:id="383" w:name="Tc_yBY0DY8Zw0iBXAIl84qOfw_41_0"/>
      <w:bookmarkStart w:id="384" w:name="Tc_pQq3Yfhzz02r9F5Pk_Xzww_40_0"/>
      <w:bookmarkStart w:id="385" w:name="Tc_W-Dr_YS01UeKaGVb0oDW5Q_39_0"/>
      <w:bookmarkStart w:id="386" w:name="Tc_gdYrwpMzUk2VDl6gnOuYUg_38_0"/>
      <w:bookmarkStart w:id="387" w:name="Tc_JJEHb7fnbkK3Pg_xFBL8Qg_37_0"/>
      <w:bookmarkStart w:id="388" w:name="Tc_9NJ79jpPOEq1prlPSlTJOQ_36_0"/>
      <w:bookmarkStart w:id="389" w:name="Tc__X-IscqtZkOpe3WjKg8JCA_35_3"/>
      <w:bookmarkStart w:id="390" w:name="Tc_CODQmjvCn0SaLFm-RyODvw_35_0"/>
      <w:bookmarkStart w:id="391" w:name="Tc_fLxMjcnKuUuDTOrFLQ6kCA_34_3"/>
      <w:bookmarkStart w:id="392" w:name="Tc_A8LCRERTSUqZABduk5shoA_34_0"/>
      <w:bookmarkStart w:id="393" w:name="Tc_VglsE39QAE23J9XnifK8pw_33_9"/>
      <w:bookmarkStart w:id="394" w:name="Tc_XW0GzemlMUmA5A2QhCGQ3w_33_6"/>
      <w:bookmarkStart w:id="395" w:name="Tc_PM-jtdflOk-e-U0VzcBk7Q_33_3"/>
      <w:bookmarkStart w:id="396" w:name="Tc_3hbFBQs6skyAWYeDntgmiQ_33_0"/>
      <w:bookmarkStart w:id="397" w:name="Tc_m7t9oW7ZfU-tSl9ZHhGdpw_32_3"/>
      <w:bookmarkStart w:id="398" w:name="Tc_UZmNIXbu90CZ0uXp28_KvQ_32_0"/>
      <w:bookmarkStart w:id="399" w:name="Tc_xJikMXlnSEmalVt43l_SUA_31_12"/>
      <w:bookmarkStart w:id="400" w:name="Tc_tbhpWqnin0ylVMgF862qGA_31_6"/>
      <w:bookmarkStart w:id="401" w:name="Tc_cRInwRQ1Fka6cwkjDaaRLA_31_3"/>
      <w:bookmarkStart w:id="402" w:name="Tc_K5vgp9QQ4U-hZ_WrKcdC2A_31_0"/>
      <w:bookmarkStart w:id="403" w:name="Tc_ZfZNz0Ls5Um7mjzw9kLwGQ_30_12"/>
      <w:bookmarkStart w:id="404" w:name="Tc_pudlEQ5g1k25QtRLmEeVJQ_30_6"/>
      <w:bookmarkStart w:id="405" w:name="Tc_-Z8_epgGkkmuK9sk8vRKWg_30_3"/>
      <w:bookmarkStart w:id="406" w:name="Tc_Bwo8fX9VskOyDerWk_8-8w_30_0"/>
      <w:bookmarkStart w:id="407" w:name="Tc_vd1H3a-6EUCNDHmtse3jcQ_29_0"/>
      <w:bookmarkStart w:id="408" w:name="Tc_9oJsm8WwB0m0cvPDP6Hi2w_28_0"/>
      <w:bookmarkStart w:id="409" w:name="Tc_ExsRoBBMgECQurCqI7SIAQ_27_0"/>
      <w:bookmarkStart w:id="410" w:name="Tc_R2UdN6sXzkqyELPSmQA3Zg_26_6"/>
      <w:bookmarkStart w:id="411" w:name="Tc_Zzt097NOOUOP-0kfkLFfDw_26_3"/>
      <w:bookmarkStart w:id="412" w:name="Tc_iA7Po8g300O7zlvZFV3g1Q_26_0"/>
      <w:bookmarkStart w:id="413" w:name="Tc_Wqfh49i6RUCigcR1L5s8Rg_25_0"/>
      <w:bookmarkStart w:id="414" w:name="Tc_bgUyLBRUmU6IxD2Okfsl7g_24_0"/>
      <w:bookmarkStart w:id="415" w:name="Tc_4d3gwgdFd0CxiWc-1mNdAQ_23_0"/>
      <w:bookmarkStart w:id="416" w:name="Tc_i80L7uP6PUyNnU3EcBA74A_22_0"/>
      <w:bookmarkStart w:id="417" w:name="Tc_l5chNbABTUS13NveRu7qLQ_21_0"/>
      <w:bookmarkStart w:id="418" w:name="Tc_EMnMcK1kcECH1kSMc9D-Kw_20_0"/>
      <w:bookmarkStart w:id="419" w:name="Tc_LRR2haW7jEi1vbCQNz87cA_19_0"/>
      <w:bookmarkStart w:id="420" w:name="Tc_m1gJBiuT1U61TiynV1TZXg_18_0"/>
      <w:bookmarkStart w:id="421" w:name="Tc_7T3GRb5kckiqLXsuc1hkeA_17_0"/>
      <w:bookmarkStart w:id="422" w:name="Tc_4earIv8g2k-8qUZskF3tdw_16_0"/>
      <w:bookmarkStart w:id="423" w:name="Tc_Txu-lc-Tnku7XTN813gMZw_15_0"/>
      <w:bookmarkStart w:id="424" w:name="Tc_lcmAFB_WWEultJaFwYy10Q_14_0"/>
      <w:bookmarkStart w:id="425" w:name="Tc_ChC3VKP5okiRAoCM9sjWaA_13_0"/>
      <w:bookmarkStart w:id="426" w:name="Tc_saT_1tNCQkGobTQbg5JiGA_12_0"/>
      <w:bookmarkStart w:id="427" w:name="Tc_sfCmVaxQike4iPMtpgBeAg_11_0"/>
      <w:bookmarkStart w:id="428" w:name="Tc_K_FBk5trCUm69_ox7Ii9DA_10_0"/>
      <w:bookmarkStart w:id="429" w:name="Tc_uJEXv8j--EqCbZdpT5-l7A_9_0"/>
      <w:bookmarkStart w:id="430" w:name="Tc_gVinkq-LuUaZhPH4QFdFfA_8_0"/>
      <w:bookmarkStart w:id="431" w:name="Tc_RHAPgf6SrES_VLxPWHrp-g_7_0"/>
      <w:bookmarkStart w:id="432" w:name="Tc_vRDzy33rNkOjzuH_SPTwuA_6_0"/>
      <w:bookmarkStart w:id="433" w:name="Tc_3gIg65hn9EOxK3dlIHQkvw_5_11"/>
      <w:bookmarkStart w:id="434" w:name="Tc_TQ_yXNcHZ0eumoOxdWcMdA_5_8"/>
      <w:bookmarkStart w:id="435" w:name="Tc_vZok2AZk4UaUtjpClaXkhg_5_5"/>
      <w:bookmarkStart w:id="436" w:name="Tc_e7iBD6d-j0egmmetiNICOQ_5_2"/>
      <w:bookmarkStart w:id="437" w:name="Tc_-0qevprneUOFHxYeeUaE9g_5_0"/>
      <w:bookmarkStart w:id="438" w:name="Tc_Pbgf1gzOCk26FDxBTxNZUw_4_0"/>
      <w:bookmarkStart w:id="439" w:name="Tc_w5ec1XPkX02E-40GF7yOVw_3_11"/>
      <w:bookmarkStart w:id="440" w:name="Tc_cD65IYEODEKBycR0suk3rg_3_8"/>
      <w:bookmarkStart w:id="441" w:name="Tc_5pAi2G8RcEyn7vUovewINA_3_5"/>
      <w:bookmarkStart w:id="442" w:name="Tc_odlqLLGEMk21S1TUKZYwKw_3_2"/>
      <w:bookmarkStart w:id="443" w:name="Tc_24AHNKwx90KIYgPy76sm7Q_2_8"/>
      <w:bookmarkStart w:id="444" w:name="Tc_ATJr6hLF-Eu3-VpQu6Bnhw_2_2"/>
      <w:bookmarkStart w:id="445" w:name="Tc_87AJhkHYVkaBJ5rybwvbCA_1_8"/>
      <w:bookmarkStart w:id="446" w:name="Tc_UbugYsLbp0GTHtpWRkxkMQ_1_2"/>
      <w:bookmarkStart w:id="447" w:name="_64fe60f6_6cb6_4aa5_b92f_3592189f6f16"/>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tbl>
      <w:tblPr>
        <w:tblW w:w="10205" w:type="dxa"/>
        <w:jc w:val="left"/>
        <w:tblInd w:w="0" w:type="dxa"/>
        <w:tblLayout w:type="fixed"/>
        <w:tblCellMar>
          <w:top w:w="0" w:type="dxa"/>
          <w:left w:w="0" w:type="dxa"/>
          <w:bottom w:w="0" w:type="dxa"/>
          <w:right w:w="0" w:type="dxa"/>
        </w:tblCellMar>
      </w:tblPr>
      <w:tblGrid>
        <w:gridCol w:w="4700"/>
        <w:gridCol w:w="326"/>
        <w:gridCol w:w="211"/>
        <w:gridCol w:w="775"/>
        <w:gridCol w:w="326"/>
        <w:gridCol w:w="211"/>
        <w:gridCol w:w="775"/>
        <w:gridCol w:w="326"/>
        <w:gridCol w:w="211"/>
        <w:gridCol w:w="880"/>
        <w:gridCol w:w="326"/>
        <w:gridCol w:w="211"/>
        <w:gridCol w:w="927"/>
      </w:tblGrid>
      <w:tr>
        <w:trPr/>
        <w:tc>
          <w:tcPr>
            <w:tcW w:w="4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984500" cy="175260"/>
                      <wp:effectExtent l="0" t="0" r="0" b="0"/>
                      <wp:wrapNone/>
                      <wp:docPr id="29" name="Frame29"/>
                      <a:graphic xmlns:a="http://schemas.openxmlformats.org/drawingml/2006/main">
                        <a:graphicData uri="http://schemas.microsoft.com/office/word/2010/wordprocessingShape">
                          <wps:wsp>
                            <wps:cNvSpPr txBox="1"/>
                            <wps:spPr>
                              <a:xfrm>
                                <a:off x="0" y="0"/>
                                <a:ext cx="298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2125" cy="175260"/>
                      <wp:effectExtent l="0" t="0" r="0" b="0"/>
                      <wp:wrapNone/>
                      <wp:docPr id="32" name="Frame32"/>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2125" cy="175260"/>
                      <wp:effectExtent l="0" t="0" r="0" b="0"/>
                      <wp:wrapNone/>
                      <wp:docPr id="35" name="Frame35"/>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58800" cy="175260"/>
                      <wp:effectExtent l="0" t="0" r="0" b="0"/>
                      <wp:wrapNone/>
                      <wp:docPr id="38" name="Frame38"/>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88645" cy="175260"/>
                      <wp:effectExtent l="0" t="0" r="0" b="0"/>
                      <wp:wrapNone/>
                      <wp:docPr id="41" name="Frame41"/>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left"/>
              <w:rPr/>
            </w:pPr>
            <w:r>
              <w:rPr/>
              <w:t>    </w:t>
            </w:r>
          </w:p>
        </w:tc>
        <w:tc>
          <w:tcPr>
            <w:tcW w:w="25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5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(19,417)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(1,385)</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18,066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17,872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53,386</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Earnings from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(11,552)</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Distributions from unconsolidated affiliates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15,178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7,250</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1,624</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deferred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3,443</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(516)</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Unrealized loss on interest rate swap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11,661</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Trade 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6,143</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Due from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320</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(711)</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949</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 operating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2,682</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Trade 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6,321</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17,752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(4,663)</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Operating lease liabilities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(2,226)</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73,070</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Olympic Pipeline Company member loan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(9,000)</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(37,033)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(44,500)</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(28,033)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(53,500)</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Proceeds from 8.500%</w:t>
            </w:r>
            <w:r>
              <w:rPr>
                <w:rFonts w:ascii="Times New Roman;Times;serif" w:hAnsi="Times New Roman;Times;serif"/>
                <w:sz w:val="18"/>
              </w:rPr>
              <w:t xml:space="preserve"> </w:t>
            </w:r>
            <w:r>
              <w:rPr>
                <w:rFonts w:ascii="Times New Roman;Times;serif" w:hAnsi="Times New Roman;Times;serif"/>
                <w:sz w:val="19"/>
              </w:rPr>
              <w:t>senior unsecured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Repayments of 6.125%</w:t>
            </w:r>
            <w:r>
              <w:rPr>
                <w:rFonts w:ascii="Times New Roman;Times;serif" w:hAnsi="Times New Roman;Times;serif"/>
                <w:sz w:val="18"/>
              </w:rPr>
              <w:t xml:space="preserve"> </w:t>
            </w:r>
            <w:r>
              <w:rPr>
                <w:rFonts w:ascii="Times New Roman;Times;serif" w:hAnsi="Times New Roman;Times;serif"/>
                <w:sz w:val="19"/>
              </w:rPr>
              <w:t>senior notes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(299,900)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Repayments of senior secured term loans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(8,267)</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Proceeds from senior secured term loans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150,000</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Borrowings under revolving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108,300</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Repayments under revolving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(182,300)</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(3,481)</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Distributions to TLP Finance Holdings, LLC for debt service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(172,997)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(80,767)</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(16,515)</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45,424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3,055</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32,885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7,552</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53,598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53,598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10,607</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paid for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17,801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65,420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81,015</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Property, plant and equipment acquired with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4,567</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Additions to right-of-use assets obtained from new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897</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contributions from parent entities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1,624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consolidated financial statements (unaudited).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48" w:name="a1SUMMARYOFSIGNIFICANTACCOUNTINGPOLICIES"/>
      <w:bookmarkStart w:id="449" w:name="NotesToFinancials"/>
      <w:bookmarkEnd w:id="448"/>
      <w:bookmarkEnd w:id="449"/>
      <w:r>
        <w:rPr>
          <w:rFonts w:ascii="Times New Roman;Times;serif" w:hAnsi="Times New Roman;Times;serif"/>
          <w:b/>
          <w:sz w:val="20"/>
        </w:rPr>
        <w:t>(1) SUMMARY OF SIGNIFICANT ACCOUNTING POLICIES</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(a) Nature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TransMontaigne Partners LLC (“we,” “us,” “our,” “the Company”) provides integrated terminaling, storage, transportation and related services for companies engaged in the trading, distribution and marketing of light refined petroleum products, heavy refined petroleum products, renewable products, crude oil, chemicals, fertilizers and other liquid products. We conduct our operations in the United States along the Gulf Coast, in the Midwest, in Houston and Brownsville, Texas, along the Mississippi and Ohio rivers, in the Southeast and along the West Coast. In addition, we sell refined and renewable products to major fuel producers and marketers in the Pacific Northwest at our terminal in Tacoma, Washington.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Terminal Facilities sale agreements. </w:t>
      </w:r>
      <w:r>
        <w:rPr>
          <w:rFonts w:ascii="Times New Roman;Times;serif" w:hAnsi="Times New Roman;Times;serif"/>
          <w:sz w:val="20"/>
        </w:rPr>
        <w:t>On January 22, 2025, the Company announced that it had entered into separate agreements for the sale of our terminal facilities on Fisher Island Miami, Florida and in Fairfax, Virginia. Proceeds from the terminal sales will be used for repayment of certain term debt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8, 2025, the Company completed the sale of our terminal facility land on Fisher Island, Miami, Florida to HRP Fisher Island, LLC, for a purchase price of $180 million. The Fisher Island terminal facility has active capacity of approximately 700,000 barrels for the storage of marine fuels. Proceeds from the sale of the Fisher Island terminal facility were used for the repayment of certain term debt obligations (see Note 12 of Notes to consolidated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Effective as of closing, we retained all assets and liabilities associated with the maintenance and operations of the Fisher Island terminal facility, excluding land, and leased the terminal facility from the buyer to allow us to continue our existing operations servicing our current customer agreements through August 2027. The Fisher Island terminal facility land has been recorded as assets held for sale (see Note 5 of Notes to consolidated financial statements).</w:t>
      </w:r>
    </w:p>
    <w:p>
      <w:pPr>
        <w:pStyle w:val="TextBody"/>
        <w:bidi w:val="0"/>
        <w:spacing w:before="0" w:after="0"/>
        <w:ind w:left="0" w:right="0" w:firstLine="360"/>
        <w:jc w:val="left"/>
        <w:rPr/>
      </w:pPr>
      <w:r>
        <w:rPr/>
        <w:t>​</w:t>
      </w:r>
    </w:p>
    <w:p>
      <w:pPr>
        <w:pStyle w:val="TextBody"/>
        <w:bidi w:val="0"/>
        <w:spacing w:lineRule="auto" w:line="314" w:before="0" w:after="0"/>
        <w:ind w:left="0" w:right="20" w:firstLine="720"/>
        <w:jc w:val="left"/>
        <w:rPr>
          <w:rFonts w:ascii="Times New Roman;Times;serif" w:hAnsi="Times New Roman;Times;serif"/>
          <w:sz w:val="20"/>
        </w:rPr>
      </w:pPr>
      <w:r>
        <w:rPr>
          <w:rFonts w:ascii="Times New Roman;Times;serif" w:hAnsi="Times New Roman;Times;serif"/>
          <w:sz w:val="20"/>
        </w:rPr>
        <w:t>The Fairfax terminal facility has active capacity of approximately 500,000 barrels for the storage of gasoline, diesel, ethanol, and fuel additives. The purchase price is approximately $30.8 million. The closing of the sale is expected to occur on or about June 30, 2026, subject to certain rights for the Company to extend the closing date. The closing is subject to customary closing conditions. The Fairfax terminal facility has been recorded as assets held for sale (see Note 5 of Notes to consolidated financial statements).</w:t>
      </w:r>
    </w:p>
    <w:p>
      <w:pPr>
        <w:pStyle w:val="TextBody"/>
        <w:bidi w:val="0"/>
        <w:spacing w:lineRule="auto" w:line="314" w:before="0" w:after="0"/>
        <w:ind w:left="0" w:right="2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(b) Basis of presentation and 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accounting and financial reporting policies conform to accounting principles generally accepted in the United States of America (“GAAP”). The accompanying consolidated financial statements include the accounts of TransMontaigne Partners LLC and its controlled subsidiaries. Investments where we do not have the ability to exercise control, but do have the ability to exercise significant influence, are accounted for using the equity method of accounting. All intercompany accounts and transactions have been eliminated in the preparation of the accompanying consolidated financial statements. The accompanying consolidated financial statements include all adjustments (consisting of normal and recurring accruals) considered necessary to present fairly our financial position as of September 30, 2025 and December 31, 2024 and our results of operations for the three and nine months ended September 30, 2025 and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 and expenses during the reporting periods. In management’s opinion, the estimate of useful lives of our plant and equipment are subjective in nature, require the exercise of judgment and involve complex analyses. Changes in these estimates and assumptions will occur as a result of the passage of time and the occurrence of future events. Actual results could differ from these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(c) Accounting for terminal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generate revenue from terminaling services fees, management fees and product sales. Under Topic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and Topic 842, </w:t>
      </w:r>
      <w:r>
        <w:rPr>
          <w:rFonts w:ascii="Times New Roman;Times;serif" w:hAnsi="Times New Roman;Times;serif"/>
          <w:i/>
          <w:sz w:val="20"/>
        </w:rPr>
        <w:t>Leases</w:t>
      </w:r>
      <w:r>
        <w:rPr>
          <w:rFonts w:ascii="Times New Roman;Times;serif" w:hAnsi="Times New Roman;Times;serif"/>
          <w:sz w:val="20"/>
        </w:rPr>
        <w:t xml:space="preserve"> and the series of related Accounting Standards Updates that followed (collectively referred to as “ASC 842”), we recognize revenue over time or at a point in time, depending on the nature of the performance obligations contained in the respective contract with our customer. The contract transaction price is allocated to each performance obligation and recognized as revenue when, or as, the performance obligation is satisfied. The following is an overview of our significant revenue streams, including a description of the respective performance obligations and related method of revenue recognition. </w:t>
      </w:r>
    </w:p>
    <w:p>
      <w:pPr>
        <w:pStyle w:val="TextBody"/>
        <w:bidi w:val="0"/>
        <w:spacing w:before="0" w:after="0"/>
        <w:ind w:left="0" w:right="0" w:firstLine="720"/>
        <w:jc w:val="left"/>
        <w:rPr>
          <w:rFonts w:ascii="Helvetica;sans-serif" w:hAnsi="Helvetica;sans-serif"/>
          <w:sz w:val="20"/>
        </w:rPr>
      </w:pPr>
      <w:r>
        <w:rPr>
          <w:rFonts w:ascii="Times New Roman;Times;serif" w:hAnsi="Times New Roman;Times;serif"/>
          <w:b/>
          <w:i/>
          <w:sz w:val="20"/>
        </w:rPr>
        <w:t>Terminaling services fees.</w:t>
      </w:r>
      <w:r>
        <w:rPr>
          <w:rFonts w:ascii="Helvetica;sans-serif" w:hAnsi="Helvetica;sans-serif"/>
          <w:sz w:val="20"/>
        </w:rPr>
        <w:t xml:space="preserve"> </w:t>
      </w:r>
      <w:r>
        <w:rPr>
          <w:rFonts w:ascii="Times New Roman;Times;serif" w:hAnsi="Times New Roman;Times;serif"/>
          <w:sz w:val="20"/>
        </w:rPr>
        <w:t xml:space="preserve">Our terminaling services agreements are structured as either throughput agreements or storage agreements. Our throughput agreements contain provisions that require our customers to make minimum payments, which are based on contractually established minimum volumes of throughput of our customer’s product at our facilities, over a stipulated period of time. Due to this minimum payment arrangement, we recognize a fixed amount of revenue from the customer over a certain period of time, even if the customer throughputs less than the minimum volume of product during that period. In addition, if a customer throughputs a volume of product exceeding the minimum volume, we would recognize additional revenue on this incremental volume. Our storage agreements require our customers to make minimum payments based on the volume of storage capacity available to the customer under the agreement, which results in a fixed amount of recognized revenue. We refer to the fixed amount of revenue recognized pursuant to our terminaling services agreements as being “firm commitments.”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terminaling services agreements include revenue recognized in accordance with ASC 606 and ASC 842. At the time of contract inception, we evaluate each contract to determine whether the contract contains a lease. Significant assumptions used in this process include the determination of whether substantive substitution rights exist based on the terms of the contract and available capacity at the terminal at the time of contract inception. Our terminaling services agreements do not allow our customers to purchase the underlying asset and vary in terms and conditions with respect to extension or termination options. If a contract is accounted for as a lease under ASC 842, we recognize the minimum payments as lease revenue and revenue recognized in excess of firm commitments as a variable payment of the lease. All other components of the contracts accounted for as a lease are treated as non-lease components (ancillary revenue) and are accounted for in accordance with ASC 606. The majority of our firm commitments under our terminaling services agreements are accounted for as lease revenue in accordance with ASC 842. The remaining firm commitments under our terminaling services agreements not accounted for as lease revenue are accounted for in accordance with ASC 606, where the minimum payment arrangement in each contract is considered a single performance obligation that is primarily satisfied over time through the contract term.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recognized in excess of firm commitments and revenue recognized based solely on the volume of product distributed or injected are referred to as ancillary. The ancillary revenue associated with terminaling services include volumes of product throughput that exceed the contractually established minimum volumes, injection fees based on the volume of product injected with additive compounds, heating and mixing of stored products, product transfer, railcar handling, butane blending, proceeds from the sale of product gains, wharfage and vapor recovery. The revenue generated by these services is required to be estimated under ASC 606 for any uncertainty that is not resolved in the period of the service. We account for the majority of ancillary revenue at individual points in time when the services are delivered to the customer. The majority of our ancillary revenue is recognized in accordance with ASC 606 (see Note 16 of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Management fees.</w:t>
      </w:r>
      <w:r>
        <w:rPr>
          <w:rFonts w:ascii="Times New Roman;Times;serif" w:hAnsi="Times New Roman;Times;serif"/>
          <w:sz w:val="20"/>
        </w:rPr>
        <w:t xml:space="preserve"> We manage and operate certain tank capacity at our Port Everglades South terminal for a major oil company and receive a reimbursement of its proportionate share of operating and maintenance costs. We manage and operate the Frontera Brownsville LLC (“Frontera”) joint venture and receive a management fee based on our costs incurred. We lease land under operating leases as the lessor or sublessor with third parties and affiliates. We manage and operate rail sites at certain Southeast terminals on behalf of a major oil company and receive reimbursement for operating and maintenance costs. We manage and operate the SeaPort Midstream Partners, LLC (“SeaPort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Midstream”) joint venture and receive a management fee based on our costs incurred. We also manage additional terminal facilities that are owned by affiliates of ArcLight, including Lucknow-Highspire Terminals, LLC, which operates terminals throughout Pennsylvania encompassing approximately 9.9 million barrels of storage capacity and we receive a management fee based on our costs incurred. Our administration of payroll for Lucknow-Highspire Terminals, LLC ended on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fee revenue is recognized at individual points in time as the services are performed or as the costs are incurred and is primarily accounted for in accordance with ASC 606. Management fees related to lease revenue are accounted for in accordance with ASC 842.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Product sales.</w:t>
      </w:r>
      <w:r>
        <w:rPr>
          <w:rFonts w:ascii="Times New Roman;Times;serif" w:hAnsi="Times New Roman;Times;serif"/>
          <w:sz w:val="20"/>
        </w:rPr>
        <w:t xml:space="preserve"> Our product sales revenue refers to the sale of refined and renewable products at our terminal in Tacoma, Washington. Product sales revenue pricing is contractually specified, and we have determined that each transaction represents a separate performance obligation. Product sales revenue is recognized at a point in time when our customers take control and legal title of the commodities purchased. Product sales revenue is recorded gross of cost of product sales, which includes product purchases and transportation costs, as we are responsible for fulfilling the promise in the sales contract and maintain inventory risk. Product sales revenue is accounted for in accordance with ASC 606.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(d) Cash and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consider all short-term investments with a remaining maturity of three months or less at the date of purchase to be cash equivalents.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Inventory represents refined and renewable products held for resale and are recorded at the lower of cost or net realizable value. Cost is determined by using the average cost method. At September 30, 2025 and December 31, 2024, our inventory was approximately $9.3 million and $9.9 million, respectively. At September 30, 2025 and December 31, 2024, our refined products inventory was approximately $3.9 million and $3.6 million, respectively. At September 30, 2025 and December 31, 2024, our renewable products inventory was approximately $5.4 million and $6.3 million, respectively. We did not recognize any adjustments to the lower of cost or net realizable value during the three and nine months ended September 30,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2021, the Washington legislature passed a low carbon fuel standard (the “Clean Fuel Standard” or “CFS”) that limits carbon in transportation fuels. The Clean Fuel Standard became effective January 1, 2023. As of January 1, 2023, we are required to purchase compliance credits or allowances to reduce emissions or reduce the amount of carbon in the transportation fuels we sell at our terminal in Tacoma, Washington. Fuels with a carbon intensity below the CFS generate compliance credits while fuels with a carbon intensity above the CFS generate deficits. We record our compliance credits net of deficits in inventory and recognize expense as cost of product sales when we transfer the compliance credit to our customers. To the extent we have not purchased enough compliance credits to satisfy our obligations as of the balance sheet date, we record a liability for our obligation to purchase the compliance credits in accrued liabilities and recognize the expense in cost of product sales when we satisfy the compliance obligation.</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(f) Property, plant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Depreciation is computed using the straight-line method. Estimated useful lives are 15 to 25 years for terminals and pipelines and 3 to 25 years for furniture, fixtures and equipment. All items of property, plant and equipment are carried at cost. Expenditures that increase capacity or extend useful lives are capitalized. Repairs and maintenance are expensed as incurred.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evaluate long-lived assets for impairment whenever events or changes in circumstances indicate that the carrying value of an asset group may not be recoverable based on expected undiscounted future cash flows attributable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asset group. If an asset group is impaired, the impairment loss to be recognized is the excess of the carrying amount of the asset group over its estimated fair value. We did not recognize any impairment charges during the three and nine months ended September 30, 2025 and 2024.</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(g) Investments in unconsolidated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account for our investments in unconsolidated affiliates, which we do not control but do have the ability to exercise significant influence over, using the equity method of accounting. Under this method, the investment is recorded at acquisition cost, increased by our proportionate share of any earnings and additional capital contributions and decreased by our proportionate share of any losses, distributions received and amortization of any excess investment. Excess investment is the amount by which our total investment exceeds our proportionate share of the book value of the net assets of the investment entity. We evaluate our investments in unconsolidated affiliates for impairment whenever events or circumstances indicate there is a loss in value of the investment that is other than temporary. In the event of impairment, we would record a charge to earnings to adjust the carrying amount to estimated fair value. We did not recognize any impairment charges during the three and nine months ended September 30, 2025 and 2024.</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(h) Environmental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accrue for environmental costs that relate to existing conditions caused by past operations when probable and reasonably estimable (see Note 10 of Notes to consolidated financial statements). Environmental costs include initial site surveys and environmental studies of potentially contaminated sites, costs for remediation and restoration of sites determined to be contaminated and ongoing monitoring costs, as well as fines, damages and other costs, including direct legal costs. Liabilities for environmental costs at a specific site are initially recorded, on an undiscounted basis, when it is probable that we will be liable for such costs, and a reasonable estimate of the associated costs can be made based on available information. Such an estimate includes our share of the liability for each specific site and the sharing of the amounts related to each site that will not be paid by other potentially responsible parties, based on enacted laws and adopted regulations and policies. Adjustments to initial estimates are recorded, from time to time, to reflect changing circumstances and estimates based upon additional information developed in subsequent periods. Estimates of our ultimate liabilities associated with environmental costs are difficult to make with certainty due to the number of variables involved, including the early stage of investigation at certain sites, the lengthy time frames required to complete remediation, technology changes, alternatives available and the evolving nature of environmental laws and regulations. We periodically file claims for insurance recoveries of certain environmental remediation costs with our insurance carriers under our comprehensive liability policies (see Note 4 of Notes to consolidated financial statements).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our acquisition of the Florida, Midwest, Brownsville, Texas, River and Southeast terminals and facilities, a third party agreed to indemnify us against certain potential environmental claims, losses and expenses. Based on our current knowledge, we expect that the active remediation projects subject to the benefit of this indemnification obligation are winding down and will not involve material additional claims, losses, and expenses. </w:t>
      </w:r>
    </w:p>
    <w:p>
      <w:pPr>
        <w:pStyle w:val="TextBody"/>
        <w:bidi w:val="0"/>
        <w:spacing w:before="0" w:after="0"/>
        <w:ind w:left="0" w:right="0" w:firstLine="720"/>
        <w:jc w:val="left"/>
        <w:rPr/>
      </w:pPr>
      <w:r>
        <w:rPr/>
        <w:t>​</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(i) Asset retirement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Asset retirement obligations are legal obligations associated with the retirement of long-lived assets that result from the acquisition, construction, development or normal use of the asset. GAAP requires that the fair value of a liability related to the retirement of long-lived assets be recorded at the time a legal obligation is incurred. Once an asset retirement obligation is identified and a liability is recorded, a corresponding asset is recorded, which is depreciated over the remaining useful life of the asset. After the initial measurement, the liability is adjusted to reflect changes in the asset retirement obligation. If and when it is determined that a legal obligation has been incurred, the fair value of any liability is determined based on estimates and assumptions related to retirement costs, future inflation rates and interest rates. Our long-lived assets consist of above-ground storage facilities and underground pipelines. We are unable to predict if and when these long-lived assets will become completely obsolete and require dismantlement. We have not recorded an asset retirement obligation, or corresponding asset, because the future dismantlement and removal dates of our long-lived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450" w:name="Tc_5jKKQjrjSUCxqVXtKFdBfg_6_6"/>
      <w:bookmarkStart w:id="451" w:name="Tc_f7m-LaZEaUad0pFeqLbkbg_6_2"/>
      <w:bookmarkStart w:id="452" w:name="Tc_HhGxMRRGQ0WFTb5h6WEOHg_6_0"/>
      <w:bookmarkStart w:id="453" w:name="Tc_pZRcZN6pEUGbfMe1rm-Klg_5_6"/>
      <w:bookmarkStart w:id="454" w:name="Tc_MCx_ABDCwkG_mJ46cZpYUQ_5_2"/>
      <w:bookmarkStart w:id="455" w:name="Tc_35zTJKn2Dk6axVp-YaF_Tg_5_0"/>
      <w:bookmarkStart w:id="456" w:name="Tc_DcG-MbB3VEmH3Eue4tC-ig_4_6"/>
      <w:bookmarkStart w:id="457" w:name="Tc_9D8E-7smGE2GAuy-Rvbeng_4_2"/>
      <w:bookmarkStart w:id="458" w:name="Tc_7S0v-O_9xEiMS_BKaqbdew_4_0"/>
      <w:bookmarkStart w:id="459" w:name="Tc_3rsYBTMpQEqd1t5IGIz7Tw_3_6"/>
      <w:bookmarkStart w:id="460" w:name="Tc_xCVZVGnUuU-CSdaSszAoww_3_2"/>
      <w:bookmarkStart w:id="461" w:name="Tc_TcVIRhPdSkazFcqLb1s2MA_3_0"/>
      <w:bookmarkStart w:id="462" w:name="Tc_sqE-AsxBcEONh7_27TXx3w_2_5"/>
      <w:bookmarkStart w:id="463" w:name="Tc_97-y-2NFmUG7WQy4lTefQQ_2_3"/>
      <w:bookmarkStart w:id="464" w:name="Tc_tl8qVShLhUCwx7NnfaxHww_2_0"/>
      <w:bookmarkStart w:id="465" w:name="Tc_QRr-QYfmTk-gXt1sPkPRTA_1_5"/>
      <w:bookmarkStart w:id="466" w:name="Tc_ud8dYEgxu0uwRcNaJqj4Sw_1_3"/>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Pr>
          <w:rFonts w:ascii="Times New Roman;Times;serif" w:hAnsi="Times New Roman;Times;serif"/>
          <w:sz w:val="20"/>
        </w:rPr>
        <w:t>assets is indeterminable and the amount of any associated costs are believed to be insignificant. Changes in our assumptions and estimates may occur as a result of the passage of time and the occurrence of future events.</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(j) Accounting for derivative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accepted accounting principles require us to recognize all derivative instruments at fair value in the consolidated balance sheets as assets or liabilities. Changes in the fair value of our derivative instruments are recognized in the consolidated statements of operations. At September 30, 2025 and December 31, 2024, our derivative instruments were limited to interest rate swap agreements. The fair value of our interest rate swap agreements are determined using a pricing model based on applicable swap rates and other observable market data. At September 30, 2025 and December 31, 2024, the fair value of our interest rate swap agreements was approximately $1.1 million and $19.1 million, respectively (see Notes 4, 9 and 11 of Notes to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terms of the interest rate swap agreements, we pay a blended fixed rate and receive interest payments based on the one-month Term Secured Overnight Financing Rate (“SOFR”) or Overnight Indexed Swap (“OIS”) compound SOFR. The net difference to be paid or received under the interest rate swap agreements will be settled monthly and recognized as an adjustment to interest expense. For the three months ended September 30, 2025 and 2024, we recognized an unrealized loss on interest rate swap agreements of approximately $1.5 million and $24.1 million, respectively. For the nine months ended September 30, 2025 and 2024, we recognized an unrealized loss on interest rate swap agreements of approximately $18.0 million and $11.7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interest rate swap agreements were as follows (in thousands, except blended fixed rate):</w:t>
      </w:r>
    </w:p>
    <w:p>
      <w:pPr>
        <w:pStyle w:val="TextBody"/>
        <w:bidi w:val="0"/>
        <w:spacing w:before="0" w:after="0"/>
        <w:ind w:left="0" w:right="0" w:hanging="0"/>
        <w:jc w:val="left"/>
        <w:rPr/>
      </w:pPr>
      <w:r>
        <w:rPr/>
        <w:t>​</w:t>
      </w:r>
    </w:p>
    <w:tbl>
      <w:tblPr>
        <w:tblW w:w="5606" w:type="dxa"/>
        <w:jc w:val="left"/>
        <w:tblInd w:w="0" w:type="dxa"/>
        <w:tblLayout w:type="fixed"/>
        <w:tblCellMar>
          <w:top w:w="0" w:type="dxa"/>
          <w:left w:w="0" w:type="dxa"/>
          <w:bottom w:w="0" w:type="dxa"/>
          <w:right w:w="0" w:type="dxa"/>
        </w:tblCellMar>
      </w:tblPr>
      <w:tblGrid>
        <w:gridCol w:w="2971"/>
        <w:gridCol w:w="109"/>
        <w:gridCol w:w="211"/>
        <w:gridCol w:w="1351"/>
        <w:gridCol w:w="109"/>
        <w:gridCol w:w="510"/>
        <w:gridCol w:w="345"/>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86585" cy="175260"/>
                      <wp:effectExtent l="0" t="0" r="0" b="0"/>
                      <wp:wrapNone/>
                      <wp:docPr id="42" name="Frame42"/>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857885" cy="175260"/>
                      <wp:effectExtent l="0" t="0" r="0" b="0"/>
                      <wp:wrapNone/>
                      <wp:docPr id="45" name="Frame45"/>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23850" cy="175260"/>
                      <wp:effectExtent l="0" t="0" r="0" b="0"/>
                      <wp:wrapNone/>
                      <wp:docPr id="47" name="Frame47"/>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075" cy="175260"/>
                      <wp:effectExtent l="0" t="0" r="0" b="0"/>
                      <wp:wrapNone/>
                      <wp:docPr id="48" name="Frame48"/>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109"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Blended </w:t>
            </w:r>
          </w:p>
        </w:tc>
      </w:tr>
      <w:tr>
        <w:trPr/>
        <w:tc>
          <w:tcPr>
            <w:tcW w:w="29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swap agreement term</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notional amount </w:t>
            </w:r>
          </w:p>
        </w:tc>
        <w:tc>
          <w:tcPr>
            <w:tcW w:w="109"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fixed rate</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18, 2023 - August 18,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09"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2023 - August 18, 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280,000</w:t>
            </w:r>
          </w:p>
        </w:tc>
        <w:tc>
          <w:tcPr>
            <w:tcW w:w="109"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2025 - August 18,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09"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2026 - August 18, 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700,000</w:t>
            </w:r>
          </w:p>
        </w:tc>
        <w:tc>
          <w:tcPr>
            <w:tcW w:w="109"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No provision for United States federal income taxes has been reflected in the accompanying consolidated financial statements because we are treated as a partnership for federal income tax purposes. As a partnership, all income, gains, losses, expenses, deductions and tax credits generated by us flow up to our owners.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Entities that report items of other comprehensive income have the option to present the components of net loss and comprehensive income in either one continuous financial statement, or two consecutive financial statements. As we have no components of comprehensive income other than net loss, no statement of comprehensive income has been presented.</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(m) Recent accounting pronouncements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March 2024, the Securities and Exchange Commission (SEC) issued final climate-related disclosure rules under SEC Release No. 33-11275, </w:t>
      </w:r>
      <w:r>
        <w:rPr>
          <w:rFonts w:ascii="Times New Roman;Times;serif" w:hAnsi="Times New Roman;Times;serif"/>
          <w:i/>
          <w:sz w:val="20"/>
        </w:rPr>
        <w:t>The Enhancement and Standardization of Climate-Related Disclosures for Investors</w:t>
      </w:r>
      <w:r>
        <w:rPr>
          <w:rFonts w:ascii="Times New Roman;Times;serif" w:hAnsi="Times New Roman;Times;serif"/>
          <w:sz w:val="20"/>
        </w:rPr>
        <w:t xml:space="preserve">. Subject to certain exemptions, the rules will require annual disclosure of material greenhouse gas emissions as well as disclosure of governance, risk management and strategy related to material climate-related risks. In addition, the rules require (i) financial statement impacts of severe weather events and other natural conditions; (ii) a roll forward of carbon offset and renewable energy credit balances if material to the Company’s plan to achieve climate-related targets or goals;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(iii) material impacts on estimates and assumptions in the financial statements. The disclosure requirements will begin phasing in for annual periods beginning with the calendar year 2027. The rule is currently stayed pending resolution of various legal challenges. We are currently evaluating the final rules to determine its impact on our consolidated financial statements once the final implementation timeline is concluded.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November 2024, the FASB issued ASU No. 2024-03, </w:t>
      </w:r>
      <w:r>
        <w:rPr>
          <w:rFonts w:ascii="Times New Roman;Times;serif" w:hAnsi="Times New Roman;Times;serif"/>
          <w:i/>
          <w:sz w:val="20"/>
          <w:shd w:fill="FFFFFF" w:val="clear"/>
        </w:rPr>
        <w:t>Disaggregation of Income Statement</w:t>
      </w:r>
      <w:r>
        <w:rPr>
          <w:rFonts w:ascii="Times New Roman;Times;serif" w:hAnsi="Times New Roman;Times;serif"/>
          <w:sz w:val="20"/>
          <w:shd w:fill="FFFFFF" w:val="clear"/>
        </w:rPr>
        <w:t>, which is intended to improve the disclosure about certain operating expenses primarily through enhanced disclosure of cost of sales and selling, general and administrative expenses. The guidance is effective for annual reporting periods beginning after December 15, 2026, and interim periods within fiscal years beginning after December 15, 2027, with early adoption permitted. The guidance can be applied on either a prospective or a retrospective basis at our election. We are currently evaluating the impact the guidance will have on our consolidated financial statements and our plan for adoption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TRANSACTIONS WITH AFFILIATES</w:t>
      </w:r>
    </w:p>
    <w:p>
      <w:pPr>
        <w:pStyle w:val="TextBody"/>
        <w:bidi w:val="0"/>
        <w:spacing w:before="200" w:after="240"/>
        <w:ind w:left="0" w:right="0" w:firstLine="720"/>
        <w:jc w:val="left"/>
        <w:rPr>
          <w:rFonts w:ascii="Times New Roman;Times;serif" w:hAnsi="Times New Roman;Times;serif"/>
          <w:sz w:val="20"/>
        </w:rPr>
      </w:pPr>
      <w:r>
        <w:rPr>
          <w:rFonts w:ascii="Times New Roman;Times;serif" w:hAnsi="Times New Roman;Times;serif"/>
          <w:b/>
          <w:i/>
          <w:sz w:val="20"/>
        </w:rPr>
        <w:t>Operations and reimbursement agreement—Frontera.</w:t>
      </w:r>
      <w:r>
        <w:rPr>
          <w:rFonts w:ascii="Times New Roman;Times;serif" w:hAnsi="Times New Roman;Times;serif"/>
          <w:sz w:val="20"/>
        </w:rPr>
        <w:t xml:space="preserve"> We have a 50% ownership interest in Frontera. We operate Frontera, in accordance with an operations and reimbursement agreement executed between us and Frontera, for a management fee that is based on our costs incurred. Our agreement with Frontera stipulates that we may resign as the operator at any time with the prior written consent of Frontera, or that we may be removed as the operator for good cause, which includes material noncompliance with laws and material failure to adhere to good industry practice regarding health, safety or environmental matters. We recognized revenue related to this operations and reimbursement agreement of approximately $1.3 million and $1.4 million for the three months ended September 30, 2025 and 2024, respectively. We recognized revenue related to this operations and reimbursement agreement of approximately $3.8 million and $4.6 million for the nine months ended September 30, 2025 and 2024,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Terminaling services agreements—Brownsville terminals.</w:t>
      </w:r>
      <w:r>
        <w:rPr>
          <w:rFonts w:ascii="Times New Roman;Times;serif" w:hAnsi="Times New Roman;Times;serif"/>
          <w:sz w:val="20"/>
        </w:rPr>
        <w:t xml:space="preserve"> We have terminaling services agreements with Frontera relating to our Brownsville, Texas facility that expired or will expire in August 2025, April 2026 and May 2026. In exchange for its minimum throughput commitments, we agreed to provide Frontera with approximately 227,000 barrels of storage capacity. We recognized revenue related to these agreements of approximately $0.7 million and $0.4 million for the three months ended September 30, 2025 and 2024, respectively. We recognized revenue related to these agreements of approximately $1.5 million and $1.2 million for the nine months ended September 30, 2025 and 2024,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Operating and administrative agreement—SeaPort Midstream—Central services.</w:t>
      </w:r>
      <w:r>
        <w:rPr>
          <w:rFonts w:ascii="Times New Roman;Times;serif" w:hAnsi="Times New Roman;Times;serif"/>
          <w:sz w:val="20"/>
        </w:rPr>
        <w:t xml:space="preserve"> We have a 51% ownership interest in SeaPort Midstream. We operate SeaPort Midstream in accordance with an operating and administrative agreement executed between us and SeaPort Midstream, for a management fee that is based on our costs incurred. The operating and administrative agreement will expire in November 2027, subject to two-year automatic renewals unless terminated by either party upon no less than twelve months’ notice prior to the end of the initial term or any successive term. Our agreement with SeaPort Midstream stipulates that we may resign as the operator at any time with the prior written consent of SeaPort Midstream, or that we may be removed as the operator for good cause, which includes material noncompliance with laws and material failure to adhere to good industry practice regarding health, safety or environmental matters. We recognized revenue related to this operating and administrative agreement of approximately $1.0 million and $1.1 million for the three months ended September 30, 2025 and 2024, respectively. We recognized revenue related to this operating and administrative agreement of approximately $3.1 million and $3.2 million for the nine months ended September 30, 2025 and 2024, respectively.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Other affiliates—Central services</w:t>
      </w:r>
      <w:r>
        <w:rPr>
          <w:rFonts w:ascii="Times New Roman;Times;serif" w:hAnsi="Times New Roman;Times;serif"/>
          <w:b/>
          <w:sz w:val="20"/>
        </w:rPr>
        <w:t>.</w:t>
      </w:r>
      <w:r>
        <w:rPr>
          <w:rFonts w:ascii="Times New Roman;Times;serif" w:hAnsi="Times New Roman;Times;serif"/>
          <w:sz w:val="20"/>
        </w:rPr>
        <w:t xml:space="preserve"> We manage additional terminal facilities that are owned by affiliates of ArcLight, including Lucknow-Highspire Terminals, LLC. We recognized revenue related to reimbursements from these affiliates of approximately $0.1 million and $0.7 million for the three months ended September 30, 2025 and 2024, respectively. We recognized revenue related to reimbursements from these affiliates of approximately $0.3 million and $2.9 million for the nine months ended September 30, 2025 and 2024, respectively. Our administration of payroll for Lucknow-Highspire Terminals, LLC ended on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Services agreement</w:t>
      </w:r>
      <w:r>
        <w:rPr>
          <w:rFonts w:ascii="Times New Roman;Times;serif" w:hAnsi="Times New Roman;Times;serif"/>
          <w:sz w:val="20"/>
        </w:rPr>
        <w:t>—</w:t>
      </w:r>
      <w:r>
        <w:rPr>
          <w:rFonts w:ascii="Times New Roman;Times;serif" w:hAnsi="Times New Roman;Times;serif"/>
          <w:b/>
          <w:i/>
          <w:sz w:val="20"/>
        </w:rPr>
        <w:t>TransMontaigne Management Company, LLC.</w:t>
      </w:r>
      <w:r>
        <w:rPr>
          <w:rFonts w:ascii="Times New Roman;Times;serif" w:hAnsi="Times New Roman;Times;serif"/>
          <w:sz w:val="20"/>
        </w:rPr>
        <w:t xml:space="preserve"> Our executive officers who provide services to the Company are employed by TransMontaigne Management Company, LLC, a wholly owned subsidiary of ArcLight, which also provides services to certain other ArcLight affiliates. Pursuant to a services agreement between our wholly owned subsidiary TLP Management Services L.L.C. (“TMS”) and TransMontaigne Management Company, TMS continues to provide certain payroll functions and maintains all employee benefits programs on behalf of TransMontaigne Management Company. TransMontaigne Management Company is reimbursed for the payroll and benefits expenses related to the executive officers, plus a 1% administration fee. Aggregate fees paid by us to TransMontaigne Management Company with respect to the services agreement was approximately $0.9 million and $0.6 million for the three months ended September 30, 2025 and 2024, respectively. Aggregate fees paid by us to TransMontaigne Management Company with respect to the services agreement was approximately $2.3 million and $2.0 million for the nine months ended September 30, 2025 and 2024, respectively.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467" w:name="Tc_FBzV0wC6uEO7ML_in02IVQ_4_11"/>
      <w:bookmarkStart w:id="468" w:name="Tc_a1Nbv7yhxkKnS5wT4b_vEA_4_9"/>
      <w:bookmarkStart w:id="469" w:name="Tc_HWbhcrU_bkGOxqktWfNfpw_4_6"/>
      <w:bookmarkStart w:id="470" w:name="Tc_b0OjUpsLh0q41UkjnOgqpg_4_4"/>
      <w:bookmarkStart w:id="471" w:name="Tc__SNw8k_btkufLfnSbJIn3g_4_1"/>
      <w:bookmarkStart w:id="472" w:name="Tc_UTEWhrjJ00O7_cYfiuZ8zg_4_0"/>
      <w:bookmarkStart w:id="473" w:name="Tc_R512gY_m9UW0puptycaETw_3_10"/>
      <w:bookmarkStart w:id="474" w:name="Tc_n5k6UEUHrE6LjCN5_jioNw_3_8"/>
      <w:bookmarkStart w:id="475" w:name="Tc_bCVFPspeUUWOt51_CWywKw_3_5"/>
      <w:bookmarkStart w:id="476" w:name="Tc_zI60Md9XGkSpGX6AAJDqdg_3_3"/>
      <w:bookmarkStart w:id="477" w:name="Tc__wA0pnmihUSWGptG2k2pTQ_3_1"/>
      <w:bookmarkStart w:id="478" w:name="Tc_zQwPhruuLk6HJgbvJPI7kQ_3_0"/>
      <w:bookmarkStart w:id="479" w:name="Tc_p9nxY-mu-06RhJM3Y2XWxg_2_8"/>
      <w:bookmarkStart w:id="480" w:name="Tc_VblAeuJ4gkOrF4nEm7Z18g_2_3"/>
      <w:bookmarkStart w:id="481" w:name="Tc_EUiSgiZwdkC4VGf4e3O4ng_1_8"/>
      <w:bookmarkStart w:id="482" w:name="Tc_0T50xbK50UOtDqNXfSQQFQ_1_3"/>
      <w:bookmarkStart w:id="483" w:name="_e09a8077_2372_4d8b_bdb3_b02ae344334a"/>
      <w:bookmarkStart w:id="484" w:name="Tc_BEZjEfcm2EuOunSY8vzq9w_3_5"/>
      <w:bookmarkStart w:id="485" w:name="Tc_DXNo7XT45kSVosj0Tz4Vyw_3_2"/>
      <w:bookmarkStart w:id="486" w:name="Tc_zE6g1YGjf0mbuP67N_xglg_3_0"/>
      <w:bookmarkStart w:id="487" w:name="Tc_FJ89BSZ1hkyCNmZ9SjDfzA_2_5"/>
      <w:bookmarkStart w:id="488" w:name="Tc_8lJaHMon_ES2n0lMWSXKyg_2_2"/>
      <w:bookmarkStart w:id="489" w:name="Tc_M9pUtefpX0G4MdvPqRSDPA_1_5"/>
      <w:bookmarkStart w:id="490" w:name="Tc_obtqNh3iBUGG0ixK53nZvw_1_2"/>
      <w:bookmarkStart w:id="491" w:name="_415c41ec_a5b0_4ef7_b2d1_367921497012"/>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ascii="Times New Roman;Times;serif" w:hAnsi="Times New Roman;Times;serif"/>
          <w:b/>
          <w:sz w:val="20"/>
        </w:rPr>
        <w:t>(3) CONCENTRATION OF CREDIT RISK AND TRADE ACCOUNTS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conduct our operations in the United States along the Gulf Coast, in the Midwest, in Houston and Brownsville, Texas, along the Mississippi and Ohio rivers, in the Southeast and along the West Coast. We have a concentration of trade receivable balances due from companies engaged in the trading, distribution and marketing of refined products, renewable products and crude oil. These concentrations of customers may affect our overall credit risk in that the customers may be similarly affected by changes in economic, regulatory or other factors. Our customers’ historical financial and operating information is analyzed prior to extending credit. We manage our exposure to credit risk through credit analysis, credit approvals, credit limits and monitoring procedures, and for certain transactions we may request letters of credit, prepayments or guarantees.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Trade accounts receivable consists of the following (in thousands):</w:t>
      </w:r>
    </w:p>
    <w:tbl>
      <w:tblPr>
        <w:tblW w:w="5258" w:type="dxa"/>
        <w:jc w:val="left"/>
        <w:tblInd w:w="0" w:type="dxa"/>
        <w:tblLayout w:type="fixed"/>
        <w:tblCellMar>
          <w:top w:w="0" w:type="dxa"/>
          <w:left w:w="0" w:type="dxa"/>
          <w:bottom w:w="0" w:type="dxa"/>
          <w:right w:w="0" w:type="dxa"/>
        </w:tblCellMar>
      </w:tblPr>
      <w:tblGrid>
        <w:gridCol w:w="2236"/>
        <w:gridCol w:w="326"/>
        <w:gridCol w:w="281"/>
        <w:gridCol w:w="904"/>
        <w:gridCol w:w="326"/>
        <w:gridCol w:w="248"/>
        <w:gridCol w:w="937"/>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19860" cy="175260"/>
                      <wp:effectExtent l="0" t="0" r="0" b="0"/>
                      <wp:wrapNone/>
                      <wp:docPr id="49" name="Frame49"/>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78435" cy="175260"/>
                      <wp:effectExtent l="0" t="0" r="0" b="0"/>
                      <wp:wrapNone/>
                      <wp:docPr id="51" name="Frame5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74040" cy="175260"/>
                      <wp:effectExtent l="0" t="0" r="0" b="0"/>
                      <wp:wrapNone/>
                      <wp:docPr id="52" name="Frame52"/>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7480" cy="175260"/>
                      <wp:effectExtent l="0" t="0" r="0" b="0"/>
                      <wp:wrapNone/>
                      <wp:docPr id="54" name="Frame5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94995" cy="175260"/>
                      <wp:effectExtent l="0" t="0" r="0" b="0"/>
                      <wp:wrapNone/>
                      <wp:docPr id="55" name="Frame55"/>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30,103</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24,363</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customer accounted for at least 10% of our consolidated revenue in at least one of the periods presented in the accompanying consolidated statements of operations:</w:t>
      </w:r>
    </w:p>
    <w:p>
      <w:pPr>
        <w:pStyle w:val="TextBody"/>
        <w:bidi w:val="0"/>
        <w:spacing w:before="0" w:after="0"/>
        <w:ind w:left="0" w:right="0" w:hanging="0"/>
        <w:jc w:val="left"/>
        <w:rPr/>
      </w:pPr>
      <w:r>
        <w:rPr/>
        <w:t>​</w:t>
      </w:r>
    </w:p>
    <w:tbl>
      <w:tblPr>
        <w:tblW w:w="7339" w:type="dxa"/>
        <w:jc w:val="left"/>
        <w:tblInd w:w="0" w:type="dxa"/>
        <w:tblLayout w:type="fixed"/>
        <w:tblCellMar>
          <w:top w:w="0" w:type="dxa"/>
          <w:left w:w="0" w:type="dxa"/>
          <w:bottom w:w="0" w:type="dxa"/>
          <w:right w:w="0" w:type="dxa"/>
        </w:tblCellMar>
      </w:tblPr>
      <w:tblGrid>
        <w:gridCol w:w="1291"/>
        <w:gridCol w:w="1816"/>
        <w:gridCol w:w="326"/>
        <w:gridCol w:w="578"/>
        <w:gridCol w:w="448"/>
        <w:gridCol w:w="578"/>
        <w:gridCol w:w="271"/>
        <w:gridCol w:w="109"/>
        <w:gridCol w:w="546"/>
        <w:gridCol w:w="423"/>
        <w:gridCol w:w="547"/>
        <w:gridCol w:w="40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819785" cy="175260"/>
                      <wp:effectExtent l="0" t="0" r="0" b="0"/>
                      <wp:wrapNone/>
                      <wp:docPr id="56" name="Frame5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153160" cy="175260"/>
                      <wp:effectExtent l="0" t="0" r="0" b="0"/>
                      <wp:wrapNone/>
                      <wp:docPr id="57" name="Frame57"/>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67030" cy="175260"/>
                      <wp:effectExtent l="0" t="0" r="0" b="0"/>
                      <wp:wrapNone/>
                      <wp:docPr id="59" name="Frame5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4480" cy="175260"/>
                      <wp:effectExtent l="0" t="0" r="0" b="0"/>
                      <wp:wrapNone/>
                      <wp:docPr id="60" name="Frame60"/>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7030" cy="175260"/>
                      <wp:effectExtent l="0" t="0" r="0" b="0"/>
                      <wp:wrapNone/>
                      <wp:docPr id="61" name="Frame6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72085" cy="175260"/>
                      <wp:effectExtent l="0" t="0" r="0" b="0"/>
                      <wp:wrapNone/>
                      <wp:docPr id="62" name="Frame6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46710" cy="175260"/>
                      <wp:effectExtent l="0" t="0" r="0" b="0"/>
                      <wp:wrapNone/>
                      <wp:docPr id="64" name="Frame64"/>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68605" cy="175260"/>
                      <wp:effectExtent l="0" t="0" r="0" b="0"/>
                      <wp:wrapNone/>
                      <wp:docPr id="65" name="Frame65"/>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47345" cy="175260"/>
                      <wp:effectExtent l="0" t="0" r="0" b="0"/>
                      <wp:wrapNone/>
                      <wp:docPr id="66" name="Frame66"/>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57810" cy="175260"/>
                      <wp:effectExtent l="0" t="0" r="0" b="0"/>
                      <wp:wrapNone/>
                      <wp:docPr id="67" name="Frame6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1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c>
          <w:tcPr>
            <w:tcW w:w="40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406" w:type="dxa"/>
            <w:tcBorders/>
            <w:vAlign w:val="center"/>
          </w:tcPr>
          <w:p>
            <w:pPr>
              <w:pStyle w:val="TableContents"/>
              <w:bidi w:val="0"/>
              <w:spacing w:before="0" w:after="0"/>
              <w:ind w:left="0" w:right="0" w:hanging="0"/>
              <w:jc w:val="center"/>
              <w:rPr/>
            </w:pPr>
            <w:r>
              <w:rPr/>
              <w:t>​</w:t>
            </w:r>
          </w:p>
        </w:tc>
      </w:tr>
      <w:tr>
        <w:trPr/>
        <w:tc>
          <w:tcPr>
            <w:tcW w:w="1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Customer</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Business Segment</w:t>
            </w:r>
          </w:p>
        </w:tc>
        <w:tc>
          <w:tcPr>
            <w:tcW w:w="326" w:type="dxa"/>
            <w:tcBorders/>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8" w:type="dxa"/>
            <w:tcBorders/>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center"/>
              <w:rPr/>
            </w:pPr>
            <w:r>
              <w:rPr/>
              <w:t>​</w:t>
            </w:r>
          </w:p>
        </w:tc>
        <w:tc>
          <w:tcPr>
            <w:tcW w:w="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3" w:type="dxa"/>
            <w:tcBorders/>
            <w:vAlign w:val="center"/>
          </w:tcPr>
          <w:p>
            <w:pPr>
              <w:pStyle w:val="TableContents"/>
              <w:bidi w:val="0"/>
              <w:spacing w:before="0" w:after="0"/>
              <w:ind w:left="0" w:right="0" w:hanging="0"/>
              <w:jc w:val="center"/>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A </w:t>
            </w:r>
            <w:r>
              <w:rPr>
                <w:rFonts w:ascii="Times New Roman;Times;serif" w:hAnsi="Times New Roman;Times;serif"/>
                <w:sz w:val="15"/>
              </w:rPr>
              <w:t>(1)</w:t>
            </w:r>
          </w:p>
        </w:tc>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tbl>
      <w:tblPr>
        <w:tblW w:w="10205" w:type="dxa"/>
        <w:jc w:val="left"/>
        <w:tblInd w:w="0" w:type="dxa"/>
        <w:tblLayout w:type="fixed"/>
        <w:tblCellMar>
          <w:top w:w="28" w:type="dxa"/>
          <w:left w:w="28" w:type="dxa"/>
          <w:bottom w:w="28" w:type="dxa"/>
          <w:right w:w="28" w:type="dxa"/>
        </w:tblCellMar>
      </w:tblPr>
      <w:tblGrid>
        <w:gridCol w:w="124"/>
        <w:gridCol w:w="253"/>
        <w:gridCol w:w="9828"/>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2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 both the three and nine months ended September 30, 2025 and 2024, 99%</w:t>
            </w:r>
            <w:r>
              <w:rPr>
                <w:caps w:val="false"/>
                <w:smallCaps w:val="false"/>
              </w:rPr>
              <w:t xml:space="preserve"> </w:t>
            </w:r>
            <w:r>
              <w:rPr>
                <w:rFonts w:ascii="Times New Roman;Times;serif" w:hAnsi="Times New Roman;Times;serif"/>
                <w:b w:val="false"/>
                <w:i w:val="false"/>
                <w:caps w:val="false"/>
                <w:smallCaps w:val="false"/>
                <w:sz w:val="20"/>
              </w:rPr>
              <w:t>of Customer A's consolidated revenue was related to product sales and 1%</w:t>
            </w:r>
            <w:r>
              <w:rPr>
                <w:caps w:val="false"/>
                <w:smallCaps w:val="false"/>
              </w:rPr>
              <w:t xml:space="preserve"> </w:t>
            </w:r>
            <w:r>
              <w:rPr>
                <w:rFonts w:ascii="Times New Roman;Times;serif" w:hAnsi="Times New Roman;Times;serif"/>
                <w:b w:val="false"/>
                <w:i w:val="false"/>
                <w:caps w:val="false"/>
                <w:smallCaps w:val="false"/>
                <w:sz w:val="20"/>
              </w:rPr>
              <w:t>was related to terminal revenue.</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492" w:name="Tc_rIzSSX3VhU6r4fGC8nBfWQ_9_5"/>
      <w:bookmarkStart w:id="493" w:name="Tc_uSZobXoguUG5heEEd1Pw8A_9_2"/>
      <w:bookmarkStart w:id="494" w:name="Tc_1jvSwo9qyk-ZM5XC1v_EOA_8_0"/>
      <w:bookmarkStart w:id="495" w:name="Tc_RPXzwR1th0WzF1v1rh6ozw_7_0"/>
      <w:bookmarkStart w:id="496" w:name="Tc_fNkK8YwX-UKb46aRMdZz8Q_6_0"/>
      <w:bookmarkStart w:id="497" w:name="Tc_BW5tABoZH06_HHs7aW6TpQ_5_0"/>
      <w:bookmarkStart w:id="498" w:name="Tc_8E4HdYwL1E-0bdph_ukOtQ_4_0"/>
      <w:bookmarkStart w:id="499" w:name="Tc_4Ay-x9mOokCk-LCfcXqh0A_3_5"/>
      <w:bookmarkStart w:id="500" w:name="Tc_jJO4rK0oBkqkRCu899NtJg_3_2"/>
      <w:bookmarkStart w:id="501" w:name="Tc_mwFaVgFBr0S0GzCQnCzl8g_3_0"/>
      <w:bookmarkStart w:id="502" w:name="Tc_aggDsStzfkqDJQvTIuTugQ_2_5"/>
      <w:bookmarkStart w:id="503" w:name="Tc_P0ew8LGvqECjo4yHx0IEYw_2_2"/>
      <w:bookmarkStart w:id="504" w:name="Tc_YMxS0q0XqEycvIGP0Au0MA_1_5"/>
      <w:bookmarkStart w:id="505" w:name="Tc_iPr9k6pW4EKDxgZp3EPufw_1_2"/>
      <w:bookmarkStart w:id="506" w:name="_d060e6fd_a62b_4906_aafd_3371cbdcf7d7"/>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Fonts w:ascii="Times New Roman;Times;serif" w:hAnsi="Times New Roman;Times;serif"/>
          <w:b/>
          <w:sz w:val="20"/>
        </w:rPr>
        <w:t>(4) OTHER CURRENT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current assets were as follows (in thousands):</w:t>
      </w:r>
    </w:p>
    <w:tbl>
      <w:tblPr>
        <w:tblW w:w="7088" w:type="dxa"/>
        <w:jc w:val="left"/>
        <w:tblInd w:w="0" w:type="dxa"/>
        <w:tblLayout w:type="fixed"/>
        <w:tblCellMar>
          <w:top w:w="0" w:type="dxa"/>
          <w:left w:w="0" w:type="dxa"/>
          <w:bottom w:w="0" w:type="dxa"/>
          <w:right w:w="0" w:type="dxa"/>
        </w:tblCellMar>
      </w:tblPr>
      <w:tblGrid>
        <w:gridCol w:w="4066"/>
        <w:gridCol w:w="326"/>
        <w:gridCol w:w="281"/>
        <w:gridCol w:w="904"/>
        <w:gridCol w:w="326"/>
        <w:gridCol w:w="248"/>
        <w:gridCol w:w="937"/>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581910" cy="175260"/>
                      <wp:effectExtent l="0" t="0" r="0" b="0"/>
                      <wp:wrapNone/>
                      <wp:docPr id="68" name="Frame68"/>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78435" cy="175260"/>
                      <wp:effectExtent l="0" t="0" r="0" b="0"/>
                      <wp:wrapNone/>
                      <wp:docPr id="70" name="Frame7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74040" cy="175260"/>
                      <wp:effectExtent l="0" t="0" r="0" b="0"/>
                      <wp:wrapNone/>
                      <wp:docPr id="71" name="Frame71"/>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57480" cy="175260"/>
                      <wp:effectExtent l="0" t="0" r="0" b="0"/>
                      <wp:wrapNone/>
                      <wp:docPr id="73" name="Frame7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4995" cy="175260"/>
                      <wp:effectExtent l="0" t="0" r="0" b="0"/>
                      <wp:wrapNone/>
                      <wp:docPr id="74" name="Frame74"/>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interest rate swap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insurance companies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Additive detergent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14,739</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16,394</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Amounts due from insurance companies.</w:t>
      </w:r>
      <w:r>
        <w:rPr>
          <w:rFonts w:ascii="Times New Roman;Times;serif" w:hAnsi="Times New Roman;Times;serif"/>
          <w:sz w:val="20"/>
        </w:rPr>
        <w:t xml:space="preserve"> We periodically file claims for recovery of environmental remediation costs and property claims with our insurance carriers under our comprehensive liability policies. We recognize our insurance recoveries in the period that we assess the likelihood of recovery as being probable. At September 30, 2025 and December 31, 2024, we recognized amounts due from insurance companies of approximately $4.1 million and $3.8 million, respectively, representing our best estimate of our probable insurance recoveries. During the nine months ended September 30, 2025, we received insurance recoveries of approximately $0.9 million and increased our estimate of our probable insurance recoveries by approximately $1.2 million. </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5) ASSETS HELD FOR SALE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22, 2025, the Company announced that it had entered into separate agreements for the sale of our terminal facilities on Fisher Island Miami, Florida and in Fairfax, Virginia. Proceeds from the terminal sales will be used for repayment of certain term debt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8, 2025, the Company completed the sale of our terminal facility land on Fisher Island, Miami, Florida to HRP Fisher Island, LLC, for a purchase price of $180 million. The Fisher Island terminal facility has active capacity of approximately 700,000 barrels for the storage of marine fuels. Proceeds from the sale of the Fisher Island terminal facility were used for the repayment of certain term debt obligations (see Note 12 of Notes to consolidated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Effective as of closing, we retained all assets and liabilities associated with the maintenance and operations of the Fisher Island terminal facility, excluding land, and leased the terminal facility from the buyer to allow us to continue our existing operations servicing our current customer agreements through August 2027. At the end of the lease, we plan to abandon the terminal property, plant, and equipment, net. Accordingly, we will apply abandonment accounting and accelerate the depreciation of the terminal property, plant and equipment, net of approximately $5.8 million, over the course of the lease term. We are currently evaluating the impact of the terminal facility lease on the gain on the sale of the Fisher Island terminal facility land.</w:t>
      </w:r>
    </w:p>
    <w:p>
      <w:pPr>
        <w:pStyle w:val="TextBody"/>
        <w:bidi w:val="0"/>
        <w:spacing w:before="0" w:after="0"/>
        <w:ind w:left="0" w:right="0" w:hanging="0"/>
        <w:jc w:val="left"/>
        <w:rPr/>
      </w:pPr>
      <w:r>
        <w:rPr/>
        <w:t>​</w:t>
      </w:r>
    </w:p>
    <w:p>
      <w:pPr>
        <w:pStyle w:val="TextBody"/>
        <w:bidi w:val="0"/>
        <w:spacing w:lineRule="auto" w:line="314" w:before="0" w:after="0"/>
        <w:ind w:left="0" w:right="20" w:hanging="0"/>
        <w:jc w:val="left"/>
        <w:rPr>
          <w:rFonts w:ascii="Times New Roman;Times;serif" w:hAnsi="Times New Roman;Times;serif"/>
          <w:sz w:val="20"/>
        </w:rPr>
      </w:pPr>
      <w:r>
        <w:rPr>
          <w:rFonts w:ascii="Times New Roman;Times;serif" w:hAnsi="Times New Roman;Times;serif"/>
          <w:sz w:val="20"/>
        </w:rPr>
        <w:t>The Fairfax terminal facility in our Southeast terminals business segment has active capacity of approximately 500,000 barrels for the storage of gasoline, diesel, ethanol, and fuel additives. The purchase price is approximately $30.8 million. The closing of the sale is expected to occur on or about June 30, 2026, subject to certain rights for the Company to extend the closing date. The closing is subject to customary closing conditions.</w:t>
      </w:r>
    </w:p>
    <w:p>
      <w:pPr>
        <w:pStyle w:val="TextBody"/>
        <w:bidi w:val="0"/>
        <w:spacing w:lineRule="auto" w:line="314" w:before="0" w:after="0"/>
        <w:ind w:left="0" w:right="2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a result, we have determined that the Fisher Island terminal facility land of approximately $7.1 million should be classified as held for sale at September 30, 2025 and December 31, 2024, and the Fairfax terminal facility of approximately $7.0 million should be classified as held for sale at September 30, 2025. The committed and planned sales and abandonment do not, however, represent a strategic shift that will have a major effect on our operations and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results. Therefore, the effects of the planned sales and abandonment have not been reported as discontinued operations within the consolidated financial statements.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507" w:name="Tc_KV6PBkJhREiSG-WqQN5-mg_9_5"/>
      <w:bookmarkStart w:id="508" w:name="Tc_Q9DyDeeidkSHaPCGy6N2DQ_9_2"/>
      <w:bookmarkStart w:id="509" w:name="Tc_-vPbcH5g1kevv6bRLBb5XA_8_0"/>
      <w:bookmarkStart w:id="510" w:name="Tc_lc0YyS697E6mFK1jTMd6yA_6_0"/>
      <w:bookmarkStart w:id="511" w:name="Tc_-ry9cXVZ90KNXSN771BILQ_5_0"/>
      <w:bookmarkStart w:id="512" w:name="Tc_Lu7AVRzRh0GRkxMWAuocSw_4_0"/>
      <w:bookmarkStart w:id="513" w:name="Tc_VT3ADtN320SUKu2yrbTGQQ_3_5"/>
      <w:bookmarkStart w:id="514" w:name="Tc_xYIxqon_QUG99nZUQ5SKWQ_3_2"/>
      <w:bookmarkStart w:id="515" w:name="Tc_GqOzmTMqn0qTSfjxvgbPZA_3_0"/>
      <w:bookmarkStart w:id="516" w:name="Tc_-cCS_iLawUyOw50MNPwz_Q_2_5"/>
      <w:bookmarkStart w:id="517" w:name="Tc_ecqHSjBLOkyT31qrlEFliw_2_2"/>
      <w:bookmarkStart w:id="518" w:name="Tc_Z28k06-u50moF3HGmSZ1vw_1_5"/>
      <w:bookmarkStart w:id="519" w:name="Tc_VS0daU9lFE6Z3WBWi_e4xQ_1_2"/>
      <w:bookmarkStart w:id="520" w:name="_7413b5a0_5512_4ae6_97aa_ae12ba793ef5"/>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rPr>
          <w:rFonts w:ascii="Times New Roman;Times;serif" w:hAnsi="Times New Roman;Times;serif"/>
          <w:b/>
          <w:sz w:val="20"/>
        </w:rPr>
        <w:t>(6) PROPERTY, PLANT AND EQUIPMENT,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plant and equipment, net was as follows (in thousands):</w:t>
      </w:r>
    </w:p>
    <w:tbl>
      <w:tblPr>
        <w:tblW w:w="6055" w:type="dxa"/>
        <w:jc w:val="left"/>
        <w:tblInd w:w="0" w:type="dxa"/>
        <w:tblLayout w:type="fixed"/>
        <w:tblCellMar>
          <w:top w:w="0" w:type="dxa"/>
          <w:left w:w="0" w:type="dxa"/>
          <w:bottom w:w="0" w:type="dxa"/>
          <w:right w:w="0" w:type="dxa"/>
        </w:tblCellMar>
      </w:tblPr>
      <w:tblGrid>
        <w:gridCol w:w="3031"/>
        <w:gridCol w:w="326"/>
        <w:gridCol w:w="219"/>
        <w:gridCol w:w="966"/>
        <w:gridCol w:w="326"/>
        <w:gridCol w:w="211"/>
        <w:gridCol w:w="97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24685" cy="175260"/>
                      <wp:effectExtent l="0" t="0" r="0" b="0"/>
                      <wp:wrapNone/>
                      <wp:docPr id="75" name="Frame75"/>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9065" cy="175260"/>
                      <wp:effectExtent l="0" t="0" r="0" b="0"/>
                      <wp:wrapNone/>
                      <wp:docPr id="77" name="Frame77"/>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13410" cy="175260"/>
                      <wp:effectExtent l="0" t="0" r="0" b="0"/>
                      <wp:wrapNone/>
                      <wp:docPr id="78" name="Frame78"/>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19760" cy="175260"/>
                      <wp:effectExtent l="0" t="0" r="0" b="0"/>
                      <wp:wrapNone/>
                      <wp:docPr id="81" name="Frame8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96,880</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Terminals, pipelines and equipment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1,446,804</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20,840</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16,080</w:t>
            </w:r>
          </w:p>
        </w:tc>
      </w:tr>
      <w:tr>
        <w:trPr/>
        <w:tc>
          <w:tcPr>
            <w:tcW w:w="3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1,601,671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1,580,604</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(812,384)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(772,330)</w:t>
            </w:r>
          </w:p>
        </w:tc>
      </w:tr>
      <w:tr>
        <w:trPr/>
        <w:tc>
          <w:tcPr>
            <w:tcW w:w="3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808,274</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2025 and December 31, 2024, property, plant and equipment, net utilized by our customers in revenue operating lease arrangements consisted of approximately $546.7 million and $561.0 million, respectively, of terminals, pipelines and equipment. The terminals, pipelines and equipment primarily relates to our storage tanks and associated internal piping.</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521" w:name="Tc_CyxqFWiSl0aiHaLo45ICHA_5_5"/>
      <w:bookmarkStart w:id="522" w:name="Tc_NNgXdY0TZEGbxQi32ScgnA_5_2"/>
      <w:bookmarkStart w:id="523" w:name="Tc_uBaqYQ6RpkCevZ6MliX1Eg_4_0"/>
      <w:bookmarkStart w:id="524" w:name="Tc_McrUjBa4EEO0TXwLrvTpkQ_3_5"/>
      <w:bookmarkStart w:id="525" w:name="Tc_s6_v2A12C0Or_NaQMDFBgA_3_2"/>
      <w:bookmarkStart w:id="526" w:name="Tc_P0GGAVNgHEKkvnbFVilguA_3_0"/>
      <w:bookmarkStart w:id="527" w:name="Tc_64BVAPuLmE2VmKnKAlaZnw_2_5"/>
      <w:bookmarkStart w:id="528" w:name="Tc_HIkwa4aHA0Gu5clzqhyzyQ_2_2"/>
      <w:bookmarkStart w:id="529" w:name="Tc_tWpGLe4WMkSmHqQm9GWQZg_1_5"/>
      <w:bookmarkStart w:id="530" w:name="Tc_yoFq1xWM1U2Oso0IzIGrDw_1_2"/>
      <w:bookmarkStart w:id="531" w:name="_3a8a4e75_9e03_4d05_a11b_529cb5de2079"/>
      <w:bookmarkEnd w:id="521"/>
      <w:bookmarkEnd w:id="522"/>
      <w:bookmarkEnd w:id="523"/>
      <w:bookmarkEnd w:id="524"/>
      <w:bookmarkEnd w:id="525"/>
      <w:bookmarkEnd w:id="526"/>
      <w:bookmarkEnd w:id="527"/>
      <w:bookmarkEnd w:id="528"/>
      <w:bookmarkEnd w:id="529"/>
      <w:bookmarkEnd w:id="530"/>
      <w:bookmarkEnd w:id="531"/>
      <w:r>
        <w:rPr>
          <w:rFonts w:ascii="Times New Roman;Times;serif" w:hAnsi="Times New Roman;Times;serif"/>
          <w:b/>
          <w:sz w:val="20"/>
        </w:rPr>
        <w:t>(7)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was as follows (in thousands):</w:t>
      </w:r>
    </w:p>
    <w:tbl>
      <w:tblPr>
        <w:tblW w:w="4928" w:type="dxa"/>
        <w:jc w:val="left"/>
        <w:tblInd w:w="0" w:type="dxa"/>
        <w:tblLayout w:type="fixed"/>
        <w:tblCellMar>
          <w:top w:w="0" w:type="dxa"/>
          <w:left w:w="0" w:type="dxa"/>
          <w:bottom w:w="0" w:type="dxa"/>
          <w:right w:w="0" w:type="dxa"/>
        </w:tblCellMar>
      </w:tblPr>
      <w:tblGrid>
        <w:gridCol w:w="1906"/>
        <w:gridCol w:w="326"/>
        <w:gridCol w:w="281"/>
        <w:gridCol w:w="904"/>
        <w:gridCol w:w="326"/>
        <w:gridCol w:w="248"/>
        <w:gridCol w:w="937"/>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10310" cy="175260"/>
                      <wp:effectExtent l="0" t="0" r="0" b="0"/>
                      <wp:wrapNone/>
                      <wp:docPr id="82" name="Frame82"/>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78435" cy="175260"/>
                      <wp:effectExtent l="0" t="0" r="0" b="0"/>
                      <wp:wrapNone/>
                      <wp:docPr id="84" name="Frame8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74040" cy="175260"/>
                      <wp:effectExtent l="0" t="0" r="0" b="0"/>
                      <wp:wrapNone/>
                      <wp:docPr id="85" name="Frame85"/>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7480" cy="175260"/>
                      <wp:effectExtent l="0" t="0" r="0" b="0"/>
                      <wp:wrapNone/>
                      <wp:docPr id="87" name="Frame8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94995" cy="175260"/>
                      <wp:effectExtent l="0" t="0" r="0" b="0"/>
                      <wp:wrapNone/>
                      <wp:docPr id="88" name="Frame88"/>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West Coast terminals </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10,101</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10,101</w:t>
            </w:r>
          </w:p>
        </w:tc>
      </w:tr>
      <w:tr>
        <w:trPr/>
        <w:tc>
          <w:tcPr>
            <w:tcW w:w="19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18,586</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18,586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is required to be tested for impairment annually unless events or changes in circumstances indicate it is more likely than not that an impairment loss has been incurred at an interim date. Our annual test for the impairment of goodwill is performed as of December 31. The impairment test is performed at the reporting unit level. Our reporting units are our business segments (see Note 17 of Notes to consolidated financial statements). The fair value of each reporting unit is determined on a stand-alone basis from the perspective of a market participant and represents an estimate of the price that would be received to sell the unit as a whole in an orderly transaction between market participants at the measurement date. If the fair value of a reporting unit exceeds its carrying amount, goodwill of the reporting unit is not considered to be impaired.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and December 31, 2024, our Brownsville and West Coast terminals contained goodwill. We did not recognize any goodwill impairment charges during the three and nine months ended September 30, 2025 and 2024 or during the year ended December 31, 2024 for these reporting units. However, an increase in the assumed market participants’ weighted average cost of capital, the loss of a significant customer, the disposition of significant assets, or an unforeseen increase in the costs to operate and maintain the Brownsville or West Coast terminals could result in the recognition of an impairment charge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532" w:name="Tc_SaeFbY-lckqlZWp2J1Eodw_8_11"/>
      <w:bookmarkStart w:id="533" w:name="Tc_J8eV86Y1NEmORLwX3hkVJg_8_8"/>
      <w:bookmarkStart w:id="534" w:name="Tc_YzFo05UdD0-MG-0Ex0BOTg_8_5"/>
      <w:bookmarkStart w:id="535" w:name="Tc_IPRLXumiLUyBWP3DxjurdA_8_2"/>
      <w:bookmarkStart w:id="536" w:name="Tc_SgfHzAM6ckqVF2qV2sBjJg_8_0"/>
      <w:bookmarkStart w:id="537" w:name="Tc_YBb_FhEhZUWguVhKuGY_xw_7_0"/>
      <w:bookmarkStart w:id="538" w:name="Tc_PHAR7NzfRUmXoRC_dQzeHg_6_0"/>
      <w:bookmarkStart w:id="539" w:name="Tc_hSIx3UA4LU2Kfet1CtqT4A_5_0"/>
      <w:bookmarkStart w:id="540" w:name="Tc_L5fddQs_S0uUc_qab2shOQ_4_11"/>
      <w:bookmarkStart w:id="541" w:name="Tc_xgZDFuUhNkaJxv5sZcautA_4_8"/>
      <w:bookmarkStart w:id="542" w:name="Tc_wipy-48rD0CCzRe0l6yuTw_4_5"/>
      <w:bookmarkStart w:id="543" w:name="Tc_bEKjA9EOH0GE-VMSPqAapQ_4_2"/>
      <w:bookmarkStart w:id="544" w:name="Tc__-XyxyyU60iDNlFNwT_ppA_4_0"/>
      <w:bookmarkStart w:id="545" w:name="Tc_hAUiyk6MOUieRXtoBL1VYg_3_11"/>
      <w:bookmarkStart w:id="546" w:name="Tc_5fwDuYjJ30mHmPp6dUVVrw_3_8"/>
      <w:bookmarkStart w:id="547" w:name="Tc_s_OxGYIXFU2vdPUWLAKDTQ_3_5"/>
      <w:bookmarkStart w:id="548" w:name="Tc_0Yslhoj4lkqg64oUPMhZMQ_3_2"/>
      <w:bookmarkStart w:id="549" w:name="Tc_3NJtj-Ay4kSaX_R1FBvp9Q_2_8"/>
      <w:bookmarkStart w:id="550" w:name="Tc_UlG5J1xIi0C-76B9WI2Lvg_2_2"/>
      <w:bookmarkStart w:id="551" w:name="Tc_Ik4OBkIxykaoJvV15WBfiQ_1_8"/>
      <w:bookmarkStart w:id="552" w:name="Tc_WWoqKeYJak-HdDvnOQnV9Q_1_2"/>
      <w:bookmarkStart w:id="553" w:name="_652304c8_2bd9_43fa_8eea_a2aa833ad400"/>
      <w:bookmarkStart w:id="554" w:name="Tc_DhyhywG9yUaMgI7BtYq8XQ_9_9"/>
      <w:bookmarkStart w:id="555" w:name="Tc_Vo_PrDx230aO9TFkwvKd4g_9_6"/>
      <w:bookmarkStart w:id="556" w:name="Tc_O7e3UvCh4kuu8vzsCMRsZg_9_0"/>
      <w:bookmarkStart w:id="557" w:name="Tc_tWWvZzE_3UiaCJB9S7kpFQ_8_5"/>
      <w:bookmarkStart w:id="558" w:name="Tc_N_q4vwyNWkSzGoIn6HxNdw_8_3"/>
      <w:bookmarkStart w:id="559" w:name="Tc_kcM01BIYPEuLLsxHAuDBDQ_8_0"/>
      <w:bookmarkStart w:id="560" w:name="Tc_qGkC1WIzdkSZCjbkcB1J_w_7_5"/>
      <w:bookmarkStart w:id="561" w:name="Tc_1dng6TmbkkaYHb-pTkB2Bw_7_3"/>
      <w:bookmarkStart w:id="562" w:name="Tc_OI_qcX9gBEqBv3w3e2YXsA_7_0"/>
      <w:bookmarkStart w:id="563" w:name="Tc_MZKBEJmWn0qpOtFbrae2Rw_6_5"/>
      <w:bookmarkStart w:id="564" w:name="Tc_ClliT22Wl0SnMsgvbaI8RQ_6_3"/>
      <w:bookmarkStart w:id="565" w:name="Tc_IQOMZAf5JUGvpdsKaXW7Gw_6_0"/>
      <w:bookmarkStart w:id="566" w:name="Tc_wWFXAczwF06Q6kzQVQKsdA_5_9"/>
      <w:bookmarkStart w:id="567" w:name="Tc_yIrC29IHkUiBNECk9iS43g_5_6"/>
      <w:bookmarkStart w:id="568" w:name="Tc_wgZpriqzLUGjGVUqQP8Jzg_5_5"/>
      <w:bookmarkStart w:id="569" w:name="Tc_32CTVdard06WIB4vx0Noog_5_3"/>
      <w:bookmarkStart w:id="570" w:name="Tc__DbqGck27EqQcyKyzY4JYA_5_0"/>
      <w:bookmarkStart w:id="571" w:name="Tc_Vm_DzHYQh0i3Rwz3GjrG4A_4_9"/>
      <w:bookmarkStart w:id="572" w:name="Tc_44fMJkZuJ0y526P3ksr73A_4_6"/>
      <w:bookmarkStart w:id="573" w:name="Tc_sI80X_zF-ESguDQ0dLoKcw_4_4"/>
      <w:bookmarkStart w:id="574" w:name="Tc_1-zHeAJM6k2WuKU0_h9bCg_4_2"/>
      <w:bookmarkStart w:id="575" w:name="Tc_ArFropHG00axVpF6OfjL-w_3_9"/>
      <w:bookmarkStart w:id="576" w:name="Tc_drIke8BnQUGhbvhGqlolFg_3_6"/>
      <w:bookmarkStart w:id="577" w:name="Tc_d1GpgTW-qEGKS9rj5m4H1A_3_4"/>
      <w:bookmarkStart w:id="578" w:name="Tc_kzd4EIYrQku1BLIh-vmoVQ_3_2"/>
      <w:bookmarkStart w:id="579" w:name="Tc_g2lvMyDdP02vYKyIIAA__Q_2_6"/>
      <w:bookmarkStart w:id="580" w:name="Tc_9XNp1juU0kunuTt7zKxSng_2_2"/>
      <w:bookmarkStart w:id="581" w:name="Tc_dC5jSdnavUuOD4bZpcwu1Q_1_6"/>
      <w:bookmarkStart w:id="582" w:name="Tc_4sXXJ-GxckGRgQWzrPKtWA_1_2"/>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rPr>
          <w:rFonts w:ascii="Times New Roman;Times;serif" w:hAnsi="Times New Roman;Times;serif"/>
          <w:b/>
          <w:sz w:val="20"/>
        </w:rPr>
        <w:t>(8) INVESTMENTS IN UNCONSOLIDATED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and December 31, 2024, our investments in unconsolidated affiliates include a 42.5% Class A ownership interest in Battleground Oil Specialty Terminal Company LLC (“BOSTCO”), a 30% ownership interest in Olympic Pipeline Company, LLC, a 51% ownership interest in SeaPort Midstream and a 50% ownership interest in Frontera. BOSTCO is a terminal facility located on the Houston Ship Channel that encompasses approximately 7.1 million barrels of distillate, residual and other black oil product storage. Class A and Class B ownership interests in BOSTCO share in cash distributions on a 96.5% and 3.5% basis, respectively. Class B ownership interests do not have voting rights and are not required to make capital investments. Olympic Pipeline Company is a 400-mile interstate refined petroleum products pipeline system running from Blaine, Washington to Portland, Oregon and a refined and renewable products terminal in Bayview, Washington. SeaPort Midstream is two terminal facilities located in Seattle, Washington and Portland, Oregon that encompasses approximately 1.3 million barrels of refined and renewable product storage. Frontera is a terminal facility located in Brownsville, Texas that encompasses approximately 1.7 million barrels of light petroleum product storage, as well as related ancillary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investments in unconsolidated affiliates:</w:t>
      </w:r>
    </w:p>
    <w:p>
      <w:pPr>
        <w:pStyle w:val="TextBody"/>
        <w:bidi w:val="0"/>
        <w:spacing w:before="0" w:after="0"/>
        <w:ind w:left="0" w:right="0" w:hanging="0"/>
        <w:jc w:val="left"/>
        <w:rPr/>
      </w:pPr>
      <w:r>
        <w:rPr/>
        <w:t>​</w:t>
      </w:r>
    </w:p>
    <w:tbl>
      <w:tblPr>
        <w:tblW w:w="9912" w:type="dxa"/>
        <w:jc w:val="left"/>
        <w:tblInd w:w="0" w:type="dxa"/>
        <w:tblLayout w:type="fixed"/>
        <w:tblCellMar>
          <w:top w:w="0" w:type="dxa"/>
          <w:left w:w="0" w:type="dxa"/>
          <w:bottom w:w="0" w:type="dxa"/>
          <w:right w:w="0" w:type="dxa"/>
        </w:tblCellMar>
      </w:tblPr>
      <w:tblGrid>
        <w:gridCol w:w="3841"/>
        <w:gridCol w:w="326"/>
        <w:gridCol w:w="1186"/>
        <w:gridCol w:w="361"/>
        <w:gridCol w:w="1141"/>
        <w:gridCol w:w="361"/>
        <w:gridCol w:w="252"/>
        <w:gridCol w:w="933"/>
        <w:gridCol w:w="326"/>
        <w:gridCol w:w="225"/>
        <w:gridCol w:w="960"/>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439035" cy="175260"/>
                      <wp:effectExtent l="0" t="0" r="0" b="0"/>
                      <wp:wrapNone/>
                      <wp:docPr id="89" name="Frame89"/>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53110" cy="175260"/>
                      <wp:effectExtent l="0" t="0" r="0" b="0"/>
                      <wp:wrapNone/>
                      <wp:docPr id="91" name="Frame9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29235" cy="175260"/>
                      <wp:effectExtent l="0" t="0" r="0" b="0"/>
                      <wp:wrapNone/>
                      <wp:docPr id="92" name="Frame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24535" cy="175260"/>
                      <wp:effectExtent l="0" t="0" r="0" b="0"/>
                      <wp:wrapNone/>
                      <wp:docPr id="93" name="Frame9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9235" cy="175260"/>
                      <wp:effectExtent l="0" t="0" r="0" b="0"/>
                      <wp:wrapNone/>
                      <wp:docPr id="94" name="Frame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0020" cy="175260"/>
                      <wp:effectExtent l="0" t="0" r="0" b="0"/>
                      <wp:wrapNone/>
                      <wp:docPr id="95" name="Frame9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92455" cy="175260"/>
                      <wp:effectExtent l="0" t="0" r="0" b="0"/>
                      <wp:wrapNone/>
                      <wp:docPr id="96" name="Frame9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2875" cy="175260"/>
                      <wp:effectExtent l="0" t="0" r="0" b="0"/>
                      <wp:wrapNone/>
                      <wp:docPr id="98" name="Frame9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09600" cy="175260"/>
                      <wp:effectExtent l="0" t="0" r="0" b="0"/>
                      <wp:wrapNone/>
                      <wp:docPr id="99" name="Frame99"/>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61"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61" w:type="dxa"/>
            <w:tcBorders/>
            <w:vAlign w:val="center"/>
          </w:tcPr>
          <w:p>
            <w:pPr>
              <w:pStyle w:val="TableContents"/>
              <w:bidi w:val="0"/>
              <w:spacing w:before="0" w:after="0"/>
              <w:ind w:left="0" w:right="0" w:hanging="0"/>
              <w:jc w:val="left"/>
              <w:rPr/>
            </w:pPr>
            <w:r>
              <w:rPr/>
              <w:t>​</w:t>
            </w:r>
          </w:p>
        </w:tc>
        <w:tc>
          <w:tcPr>
            <w:tcW w:w="26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6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61"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BOSTCO</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175,441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180,920</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Olympic Pipeline Company</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84,340</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84,975</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SeaPort Midstream </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33,495</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Frontera</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16,792</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18,002</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in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311,419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317,392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and December 31, 2024, our investment in BOSTCO includes approximately $5.5 million and $5.7 million, respectively, of excess investment related to a one time buy-in fee to acquire our 42.5% interest and capitalization of interest on our investment during the construction of BOSTCO amortized over the useful life of the assets. Excess investment is the amount by which our investment exceeds our proportionate share of the book value of the net assets of the BOSTCO entity.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and December 31, 2024, our investment in Olympic Pipeline Company includes approximately $4.9 million and $5.1 million, respectively, of excess investment related to property, plant and equipment being amortized over the useful life of the assets and approximately $20.2 million of excess investment related to goodwill. Excess investment is the amount by which our investment exceeds our proportionate share of the book value of the net assets of the Olympic Pipeline Company entity.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Earnings (loss) from investments in unconsolidated affiliates was as follows (in thousands):</w:t>
      </w:r>
    </w:p>
    <w:tbl>
      <w:tblPr>
        <w:tblW w:w="9650" w:type="dxa"/>
        <w:jc w:val="left"/>
        <w:tblInd w:w="0" w:type="dxa"/>
        <w:tblLayout w:type="fixed"/>
        <w:tblCellMar>
          <w:top w:w="0" w:type="dxa"/>
          <w:left w:w="0" w:type="dxa"/>
          <w:bottom w:w="0" w:type="dxa"/>
          <w:right w:w="0" w:type="dxa"/>
        </w:tblCellMar>
      </w:tblPr>
      <w:tblGrid>
        <w:gridCol w:w="4996"/>
        <w:gridCol w:w="326"/>
        <w:gridCol w:w="211"/>
        <w:gridCol w:w="571"/>
        <w:gridCol w:w="326"/>
        <w:gridCol w:w="211"/>
        <w:gridCol w:w="571"/>
        <w:gridCol w:w="326"/>
        <w:gridCol w:w="211"/>
        <w:gridCol w:w="571"/>
        <w:gridCol w:w="326"/>
        <w:gridCol w:w="211"/>
        <w:gridCol w:w="793"/>
      </w:tblGrid>
      <w:tr>
        <w:trPr/>
        <w:tc>
          <w:tcPr>
            <w:tcW w:w="4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172460" cy="175260"/>
                      <wp:effectExtent l="0" t="0" r="0" b="0"/>
                      <wp:wrapNone/>
                      <wp:docPr id="100" name="Frame100"/>
                      <a:graphic xmlns:a="http://schemas.openxmlformats.org/drawingml/2006/main">
                        <a:graphicData uri="http://schemas.microsoft.com/office/word/2010/wordprocessingShape">
                          <wps:wsp>
                            <wps:cNvSpPr txBox="1"/>
                            <wps:spPr>
                              <a:xfrm>
                                <a:off x="0" y="0"/>
                                <a:ext cx="317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62585" cy="175260"/>
                      <wp:effectExtent l="0" t="0" r="0" b="0"/>
                      <wp:wrapNone/>
                      <wp:docPr id="103" name="Frame1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2585" cy="175260"/>
                      <wp:effectExtent l="0" t="0" r="0" b="0"/>
                      <wp:wrapNone/>
                      <wp:docPr id="106" name="Frame1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9" name="Frame1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03555" cy="175260"/>
                      <wp:effectExtent l="0" t="0" r="0" b="0"/>
                      <wp:wrapNone/>
                      <wp:docPr id="112" name="Frame11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left"/>
              <w:rPr/>
            </w:pPr>
            <w:r>
              <w:rPr/>
              <w:t>​</w:t>
            </w:r>
          </w:p>
        </w:tc>
        <w:tc>
          <w:tcPr>
            <w:tcW w:w="21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1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BOSTCO</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3,812</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Olympic Pipeline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5,426</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SeaPort Midstream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2,539</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Frontera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earnings from investments in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11,552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bookmarkStart w:id="583" w:name="Tc_QAMDHeaOAkeKlNF31rEc-w_6_11"/>
      <w:bookmarkStart w:id="584" w:name="Tc_yOBUIekIIkOXh4HbpiitxQ_6_8"/>
      <w:bookmarkStart w:id="585" w:name="Tc_0x6r7kyeFk63Z5TkmOZ5TQ_6_5"/>
      <w:bookmarkStart w:id="586" w:name="Tc_zVuPNwq2lUutzNBdr7rceg_6_2"/>
      <w:bookmarkStart w:id="587" w:name="Tc_8wVk5gBvBE-ZhXwzHr_XsQ_6_0"/>
      <w:bookmarkStart w:id="588" w:name="Tc_iqHpwNZ2wUeBJvktWwn4-g_5_0"/>
      <w:bookmarkStart w:id="589" w:name="Tc_fgY4riRdxU272aID9be7dg_4_11"/>
      <w:bookmarkStart w:id="590" w:name="Tc__qfmLxieH06BBsFC4qSjoQ_4_8"/>
      <w:bookmarkStart w:id="591" w:name="Tc_b8l4kFWb0Emg2Z91T-KFMg_4_5"/>
      <w:bookmarkStart w:id="592" w:name="Tc_khNcfbAOiUSJimUAEquLQA_4_2"/>
      <w:bookmarkStart w:id="593" w:name="Tc_zrCcec7HQkKs0AEgN7THuQ_4_0"/>
      <w:bookmarkStart w:id="594" w:name="Tc_TkzxjVpJ1k697WYm7XcKWQ_3_11"/>
      <w:bookmarkStart w:id="595" w:name="Tc_qKCwX4ZjaEGo6keFJ2KrMw_3_8"/>
      <w:bookmarkStart w:id="596" w:name="Tc_863SYNMTykSehyVQSbnwFA_3_5"/>
      <w:bookmarkStart w:id="597" w:name="Tc_vc-6x6CHrUmZzTaNL_wqzg_3_2"/>
      <w:bookmarkStart w:id="598" w:name="Tc_nvjPescdQkuA565Tg91-Pg_2_8"/>
      <w:bookmarkStart w:id="599" w:name="Tc_qP1IhSKQ60e7Mq4uLhOwQg_2_2"/>
      <w:bookmarkStart w:id="600" w:name="Tc_J_MRG9Vp4Uis8D43j6E5Iw_1_8"/>
      <w:bookmarkStart w:id="601" w:name="Tc_y2RG5HhT5ESTdvY_xYS4Pg_1_2"/>
      <w:bookmarkStart w:id="602" w:name="_3354bc9d_a302_421d_a488_a7d69a2b7b67"/>
      <w:bookmarkStart w:id="603" w:name="Tc_P-u4bIgid0yt80MHzxK8dA_8_5"/>
      <w:bookmarkStart w:id="604" w:name="Tc_Gx-1rKgeZU2E811n1ky8ZA_8_2"/>
      <w:bookmarkStart w:id="605" w:name="Tc_T0ZJ6-too0q1gH_RFhuMtA_8_0"/>
      <w:bookmarkStart w:id="606" w:name="Tc_HydF_MNcAkKPF_EjvQn-Xw_7_0"/>
      <w:bookmarkStart w:id="607" w:name="Tc_9NJvhmh_wUu87v0xAnsq_g_6_0"/>
      <w:bookmarkStart w:id="608" w:name="Tc_-AjXux5TZ0udNXvGKT2FTw_5_0"/>
      <w:bookmarkStart w:id="609" w:name="Tc_ZaFqJ9d65EWBXafJWiN29g_4_5"/>
      <w:bookmarkStart w:id="610" w:name="Tc_J7tWVofsXEmoJz6rrU8UdA_4_2"/>
      <w:bookmarkStart w:id="611" w:name="Tc_JmKnWnehEUu53GzY1Wkbhw_4_0"/>
      <w:bookmarkStart w:id="612" w:name="Tc_OjfcF2s6kUKrmhMIHtHnQg_3_5"/>
      <w:bookmarkStart w:id="613" w:name="Tc_EIerHkbSkE-31htLiXMXHw_3_2"/>
      <w:bookmarkStart w:id="614" w:name="Tc_rwG9Vrl4ZkOf9zyoGHvpfg_2_5"/>
      <w:bookmarkStart w:id="615" w:name="Tc_bj8eZUeeAEG5wJpTiVJhHw_2_2"/>
      <w:bookmarkStart w:id="616" w:name="_9f763ae0_a9b1_45cb_8ff7_8b5ae943b279"/>
      <w:bookmarkStart w:id="617" w:name="x"/>
      <w:bookmarkStart w:id="618" w:name="Tc_jyKQ5ZUtvU2wXuWx6BYxeQ_8_11"/>
      <w:bookmarkStart w:id="619" w:name="Tc_5y6Di7rqpk6LO0sq8lic2g_8_8"/>
      <w:bookmarkStart w:id="620" w:name="Tc_zLsdPxdjMki3jwJxbEigXg_8_5"/>
      <w:bookmarkStart w:id="621" w:name="Tc_QMOsigg8Wk-xWc00U6hIzA_8_2"/>
      <w:bookmarkStart w:id="622" w:name="Tc_ORcH3GOC_0CIZGq5HJdo7A_8_0"/>
      <w:bookmarkStart w:id="623" w:name="Tc_rlahKlFtyke6MVOzAJFarQ_7_0"/>
      <w:bookmarkStart w:id="624" w:name="Tc_infASY5f_kKnBql4huwtbA_6_12"/>
      <w:bookmarkStart w:id="625" w:name="Tc_RqW6Gn68WkWA6py4Qb3blQ_6_6"/>
      <w:bookmarkStart w:id="626" w:name="Tc_Y0qtHJbm80OMcl7WNV9Wng_6_0"/>
      <w:bookmarkStart w:id="627" w:name="Tc_MAXVpgQ7HEWSFv_XxD1pLQ_5_12"/>
      <w:bookmarkStart w:id="628" w:name="Tc_YC4bBwYDUUmEqFmm3AaLRg_5_6"/>
      <w:bookmarkStart w:id="629" w:name="Tc_vl-DMWE58U-FE2qZP2EMUw_5_0"/>
      <w:bookmarkStart w:id="630" w:name="Tc_4OfrDXPnt0Oa8KWJdteEmQ_4_11"/>
      <w:bookmarkStart w:id="631" w:name="Tc_SsF1AL2QeEypKafT9q_cpA_4_8"/>
      <w:bookmarkStart w:id="632" w:name="Tc_KRIutYnBIEmcw3SZ2rgjFw_4_5"/>
      <w:bookmarkStart w:id="633" w:name="Tc_szEzVOr_8E2Ptd7B-z51sg_4_2"/>
      <w:bookmarkStart w:id="634" w:name="Tc_eth2YlfJ10qNIlb0Ntmd1w_4_0"/>
      <w:bookmarkStart w:id="635" w:name="Tc_XNj3vw7kiUmxAgtpo6RcCA_3_11"/>
      <w:bookmarkStart w:id="636" w:name="Tc_8C3fqxOU60yYhxlp0EEa1g_3_8"/>
      <w:bookmarkStart w:id="637" w:name="Tc_jxt_CzTC1026IGwufParfg_3_5"/>
      <w:bookmarkStart w:id="638" w:name="Tc_CGxOkAMAQECoZYV5Hih5SA_3_2"/>
      <w:bookmarkStart w:id="639" w:name="Tc_9O5Gp3R7xEOWWhf-GdXZ1A_2_8"/>
      <w:bookmarkStart w:id="640" w:name="Tc_iZr_zG27Yk6ZlfpIlgDPHg_2_2"/>
      <w:bookmarkStart w:id="641" w:name="Tc_vi4We_qrm0SSFVPTqSxUGw_1_8"/>
      <w:bookmarkStart w:id="642" w:name="Tc_24-BzO8F4EqXAUThRqHe6Q_1_2"/>
      <w:bookmarkStart w:id="643" w:name="_51d5b507_4d86_49f6_a0da_5d7891739aa0"/>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Pr>
          <w:rFonts w:ascii="Times New Roman;Times;serif" w:hAnsi="Times New Roman;Times;serif"/>
          <w:sz w:val="20"/>
        </w:rPr>
        <w:t>Cash distributions received from unconsolidated affiliates was as follows (in thousands):</w:t>
      </w:r>
    </w:p>
    <w:tbl>
      <w:tblPr>
        <w:tblW w:w="9470" w:type="dxa"/>
        <w:jc w:val="left"/>
        <w:tblInd w:w="0" w:type="dxa"/>
        <w:tblLayout w:type="fixed"/>
        <w:tblCellMar>
          <w:top w:w="0" w:type="dxa"/>
          <w:left w:w="0" w:type="dxa"/>
          <w:bottom w:w="0" w:type="dxa"/>
          <w:right w:w="0" w:type="dxa"/>
        </w:tblCellMar>
      </w:tblPr>
      <w:tblGrid>
        <w:gridCol w:w="4816"/>
        <w:gridCol w:w="326"/>
        <w:gridCol w:w="211"/>
        <w:gridCol w:w="571"/>
        <w:gridCol w:w="326"/>
        <w:gridCol w:w="211"/>
        <w:gridCol w:w="571"/>
        <w:gridCol w:w="326"/>
        <w:gridCol w:w="211"/>
        <w:gridCol w:w="676"/>
        <w:gridCol w:w="326"/>
        <w:gridCol w:w="211"/>
        <w:gridCol w:w="688"/>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058160" cy="175260"/>
                      <wp:effectExtent l="0" t="0" r="0" b="0"/>
                      <wp:wrapNone/>
                      <wp:docPr id="113" name="Frame113"/>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2585" cy="175260"/>
                      <wp:effectExtent l="0" t="0" r="0" b="0"/>
                      <wp:wrapNone/>
                      <wp:docPr id="116" name="Frame1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2585" cy="175260"/>
                      <wp:effectExtent l="0" t="0" r="0" b="0"/>
                      <wp:wrapNone/>
                      <wp:docPr id="119" name="Frame1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29260" cy="175260"/>
                      <wp:effectExtent l="0" t="0" r="0" b="0"/>
                      <wp:wrapNone/>
                      <wp:docPr id="122" name="Frame1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6880" cy="175260"/>
                      <wp:effectExtent l="0" t="0" r="0" b="0"/>
                      <wp:wrapNone/>
                      <wp:docPr id="125" name="Frame12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left"/>
              <w:rPr/>
            </w:pPr>
            <w:r>
              <w:rPr/>
              <w:t>​</w:t>
            </w:r>
          </w:p>
        </w:tc>
        <w:tc>
          <w:tcPr>
            <w:tcW w:w="21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1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BOSTCO</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Olympic Pipeline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SeaPort Midstream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Frontera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distributions received from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7,250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summarized combined financial information of our unconsolidated affiliates was as follows (in thousands):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Balance sheets:</w:t>
      </w:r>
    </w:p>
    <w:tbl>
      <w:tblPr>
        <w:tblW w:w="4606" w:type="dxa"/>
        <w:jc w:val="left"/>
        <w:tblInd w:w="0" w:type="dxa"/>
        <w:tblLayout w:type="fixed"/>
        <w:tblCellMar>
          <w:top w:w="0" w:type="dxa"/>
          <w:left w:w="0" w:type="dxa"/>
          <w:bottom w:w="0" w:type="dxa"/>
          <w:right w:w="0" w:type="dxa"/>
        </w:tblCellMar>
      </w:tblPr>
      <w:tblGrid>
        <w:gridCol w:w="1801"/>
        <w:gridCol w:w="326"/>
        <w:gridCol w:w="252"/>
        <w:gridCol w:w="933"/>
        <w:gridCol w:w="109"/>
        <w:gridCol w:w="225"/>
        <w:gridCol w:w="960"/>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143635" cy="175260"/>
                      <wp:effectExtent l="0" t="0" r="0" b="0"/>
                      <wp:wrapNone/>
                      <wp:docPr id="126" name="Frame12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0020" cy="175260"/>
                      <wp:effectExtent l="0" t="0" r="0" b="0"/>
                      <wp:wrapNone/>
                      <wp:docPr id="128" name="Frame12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92455" cy="175260"/>
                      <wp:effectExtent l="0" t="0" r="0" b="0"/>
                      <wp:wrapNone/>
                      <wp:docPr id="129" name="Frame12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2875" cy="175260"/>
                      <wp:effectExtent l="0" t="0" r="0" b="0"/>
                      <wp:wrapNone/>
                      <wp:docPr id="131" name="Frame13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09600" cy="175260"/>
                      <wp:effectExtent l="0" t="0" r="0" b="0"/>
                      <wp:wrapNone/>
                      <wp:docPr id="132" name="Frame132"/>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9" w:type="dxa"/>
            <w:gridSpan w:val="5"/>
            <w:tcBorders/>
            <w:vAlign w:val="center"/>
          </w:tcPr>
          <w:p>
            <w:pPr>
              <w:pStyle w:val="TableContents"/>
              <w:bidi w:val="0"/>
              <w:spacing w:before="0" w:after="0"/>
              <w:ind w:left="0" w:right="0" w:hanging="0"/>
              <w:jc w:val="center"/>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74,400</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100,534</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741,652</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754,457</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(46,495)</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(69,826)</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(70,484)</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(72,380)</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699,073</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712,785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Statements of income:</w:t>
      </w:r>
    </w:p>
    <w:tbl>
      <w:tblPr>
        <w:tblW w:w="6638" w:type="dxa"/>
        <w:jc w:val="left"/>
        <w:tblInd w:w="0" w:type="dxa"/>
        <w:tblLayout w:type="fixed"/>
        <w:tblCellMar>
          <w:top w:w="0" w:type="dxa"/>
          <w:left w:w="0" w:type="dxa"/>
          <w:bottom w:w="0" w:type="dxa"/>
          <w:right w:w="0" w:type="dxa"/>
        </w:tblCellMar>
      </w:tblPr>
      <w:tblGrid>
        <w:gridCol w:w="1051"/>
        <w:gridCol w:w="326"/>
        <w:gridCol w:w="211"/>
        <w:gridCol w:w="796"/>
        <w:gridCol w:w="326"/>
        <w:gridCol w:w="211"/>
        <w:gridCol w:w="796"/>
        <w:gridCol w:w="326"/>
        <w:gridCol w:w="211"/>
        <w:gridCol w:w="901"/>
        <w:gridCol w:w="326"/>
        <w:gridCol w:w="211"/>
        <w:gridCol w:w="946"/>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7385" cy="175260"/>
                      <wp:effectExtent l="0" t="0" r="0" b="0"/>
                      <wp:wrapNone/>
                      <wp:docPr id="133" name="Frame13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5460" cy="175260"/>
                      <wp:effectExtent l="0" t="0" r="0" b="0"/>
                      <wp:wrapNone/>
                      <wp:docPr id="136" name="Frame1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05460" cy="175260"/>
                      <wp:effectExtent l="0" t="0" r="0" b="0"/>
                      <wp:wrapNone/>
                      <wp:docPr id="139" name="Frame1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72135" cy="175260"/>
                      <wp:effectExtent l="0" t="0" r="0" b="0"/>
                      <wp:wrapNone/>
                      <wp:docPr id="142" name="Frame14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00710" cy="175260"/>
                      <wp:effectExtent l="0" t="0" r="0" b="0"/>
                      <wp:wrapNone/>
                      <wp:docPr id="145" name="Frame14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162,867</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(129,722)</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33,145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44" w:name="Tc_pvvOxaUOQ0a2RwtVF1wdrQ_7_5"/>
      <w:bookmarkStart w:id="645" w:name="Tc_C87XpBGjMUSkNi119dWrbg_7_2"/>
      <w:bookmarkStart w:id="646" w:name="Tc_I2aHTXmtskuksW4ZJU5gfA_6_0"/>
      <w:bookmarkStart w:id="647" w:name="Tc_41TEIIoeFESouH61eRQzEw_5_3"/>
      <w:bookmarkStart w:id="648" w:name="Tc_W7yPtMsRP0yKlmG64pJf7Q_5_0"/>
      <w:bookmarkStart w:id="649" w:name="Tc_qLR0ONIIfUijC6k2eEjyYg_4_3"/>
      <w:bookmarkStart w:id="650" w:name="Tc_id6Q6nvo60eydzpNE5ITQQ_4_0"/>
      <w:bookmarkStart w:id="651" w:name="Tc_ZGwcKDSsCE6xcv8TOzrHMw_3_5"/>
      <w:bookmarkStart w:id="652" w:name="Tc_j7jl8YZzLkaiEuGBuxsTZA_3_2"/>
      <w:bookmarkStart w:id="653" w:name="Tc_XAXsYwR-r0GRlRhy6VZ1bA_3_0"/>
      <w:bookmarkStart w:id="654" w:name="Tc_Xn3kzIatakm2_CKaatPgKQ_2_5"/>
      <w:bookmarkStart w:id="655" w:name="Tc_pR7UEBqxzUK9oHsvKzTMhg_2_2"/>
      <w:bookmarkStart w:id="656" w:name="Tc_n-Jl_e7NqUS7UOGhpQnCpg_1_5"/>
      <w:bookmarkStart w:id="657" w:name="Tc_rbe6VJj7W0qO2cX5AlL06A_1_2"/>
      <w:bookmarkStart w:id="658" w:name="_6d373ab9_2a9e_405e_bcbd_4dc4dbbe581e"/>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Pr>
          <w:rFonts w:ascii="Times New Roman;Times;serif" w:hAnsi="Times New Roman;Times;serif"/>
          <w:b/>
          <w:sz w:val="20"/>
        </w:rPr>
        <w:t>(9) OTHER ASSETS,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assets, net was as follows (in thousands):</w:t>
      </w:r>
    </w:p>
    <w:tbl>
      <w:tblPr>
        <w:tblW w:w="10205" w:type="dxa"/>
        <w:jc w:val="left"/>
        <w:tblInd w:w="0" w:type="dxa"/>
        <w:tblLayout w:type="fixed"/>
        <w:tblCellMar>
          <w:top w:w="0" w:type="dxa"/>
          <w:left w:w="0" w:type="dxa"/>
          <w:bottom w:w="0" w:type="dxa"/>
          <w:right w:w="0" w:type="dxa"/>
        </w:tblCellMar>
      </w:tblPr>
      <w:tblGrid>
        <w:gridCol w:w="7198"/>
        <w:gridCol w:w="326"/>
        <w:gridCol w:w="279"/>
        <w:gridCol w:w="897"/>
        <w:gridCol w:w="326"/>
        <w:gridCol w:w="246"/>
        <w:gridCol w:w="933"/>
      </w:tblGrid>
      <w:tr>
        <w:trPr/>
        <w:tc>
          <w:tcPr>
            <w:tcW w:w="7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570730" cy="175260"/>
                      <wp:effectExtent l="0" t="0" r="0" b="0"/>
                      <wp:wrapNone/>
                      <wp:docPr id="146" name="Frame146"/>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77165" cy="175260"/>
                      <wp:effectExtent l="0" t="0" r="0" b="0"/>
                      <wp:wrapNone/>
                      <wp:docPr id="148" name="Frame14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9595" cy="175260"/>
                      <wp:effectExtent l="0" t="0" r="0" b="0"/>
                      <wp:wrapNone/>
                      <wp:docPr id="149" name="Frame149"/>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6210" cy="175260"/>
                      <wp:effectExtent l="0" t="0" r="0" b="0"/>
                      <wp:wrapNone/>
                      <wp:docPr id="151" name="Frame15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92455" cy="175260"/>
                      <wp:effectExtent l="0" t="0" r="0" b="0"/>
                      <wp:wrapNone/>
                      <wp:docPr id="152" name="Frame15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1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71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 net of accumulated amortization of $26,894 and $24,498,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38,636</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41,032</w:t>
            </w:r>
          </w:p>
        </w:tc>
      </w:tr>
      <w:tr>
        <w:trPr/>
        <w:tc>
          <w:tcPr>
            <w:tcW w:w="71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interest rate swap agreements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14,633</w:t>
            </w:r>
          </w:p>
        </w:tc>
      </w:tr>
      <w:tr>
        <w:trPr/>
        <w:tc>
          <w:tcPr>
            <w:tcW w:w="71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Olympic Pipeline Company member loan </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71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71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39,529</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65,362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Customer relationships.</w:t>
      </w:r>
      <w:r>
        <w:rPr>
          <w:rFonts w:ascii="Times New Roman;Times;serif" w:hAnsi="Times New Roman;Times;serif"/>
          <w:sz w:val="20"/>
        </w:rPr>
        <w:t xml:space="preserve"> Other assets, net include certain customer relationships at our West Coast terminals. These customer relationships are being amortized on a straight-line basis over approximately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to twenty years.</w:t>
      </w:r>
    </w:p>
    <w:p>
      <w:pPr>
        <w:pStyle w:val="TextBody"/>
        <w:bidi w:val="0"/>
        <w:spacing w:lineRule="auto" w:line="285" w:before="0" w:after="0"/>
        <w:ind w:left="0" w:right="0" w:hanging="0"/>
        <w:jc w:val="left"/>
        <w:rPr>
          <w:rFonts w:ascii="Helvetica;sans-serif" w:hAnsi="Helvetica;sans-serif"/>
          <w:b/>
          <w:caps/>
          <w:sz w:val="22"/>
        </w:rPr>
      </w:pPr>
      <w:r>
        <w:rPr>
          <w:rFonts w:ascii="Times New Roman;Times;serif" w:hAnsi="Times New Roman;Times;serif"/>
          <w:b/>
          <w:i/>
          <w:caps/>
          <w:sz w:val="20"/>
        </w:rPr>
        <w:t>Olympic Pipeline Company member loan.</w:t>
      </w:r>
      <w:r>
        <w:rPr>
          <w:rFonts w:ascii="Helvetica;sans-serif" w:hAnsi="Helvetica;sans-serif"/>
          <w:b/>
          <w:caps/>
          <w:sz w:val="22"/>
        </w:rPr>
        <w:t xml:space="preserve"> </w:t>
      </w:r>
      <w:r>
        <w:rPr>
          <w:rFonts w:ascii="Times New Roman;Times;serif" w:hAnsi="Times New Roman;Times;serif"/>
          <w:b w:val="false"/>
          <w:caps/>
          <w:sz w:val="20"/>
        </w:rPr>
        <w:t>We are party to a member loan with Olympic Pipeline Company with a total borrowing capacity of $35</w:t>
      </w:r>
      <w:r>
        <w:rPr>
          <w:rFonts w:ascii="Helvetica;sans-serif" w:hAnsi="Helvetica;sans-serif"/>
          <w:b/>
          <w:caps/>
          <w:sz w:val="22"/>
        </w:rPr>
        <w:t xml:space="preserve"> </w:t>
      </w:r>
      <w:r>
        <w:rPr>
          <w:rFonts w:ascii="Times New Roman;Times;serif" w:hAnsi="Times New Roman;Times;serif"/>
          <w:b w:val="false"/>
          <w:caps/>
          <w:sz w:val="20"/>
        </w:rPr>
        <w:t>million due December 31, 2027. We are responsible for our proportionate share of 30%</w:t>
      </w:r>
      <w:r>
        <w:rPr>
          <w:rFonts w:ascii="Helvetica;sans-serif" w:hAnsi="Helvetica;sans-serif"/>
          <w:b/>
          <w:caps/>
          <w:sz w:val="22"/>
        </w:rPr>
        <w:t xml:space="preserve"> </w:t>
      </w:r>
      <w:r>
        <w:rPr>
          <w:rFonts w:ascii="Times New Roman;Times;serif" w:hAnsi="Times New Roman;Times;serif"/>
          <w:b w:val="false"/>
          <w:caps/>
          <w:sz w:val="20"/>
        </w:rPr>
        <w:t xml:space="preserve">of the loan. At September 30, 2025 and December 31, 2024, the total outstanding borrowings under the Olympic Pipeline Company member loan were </w:t>
      </w:r>
      <w:r>
        <w:rPr>
          <w:rFonts w:ascii="Times New Roman;Times;serif" w:hAnsi="Times New Roman;Times;serif"/>
          <w:b w:val="false"/>
          <w:i w:val="false"/>
          <w:caps w:val="false"/>
          <w:smallCaps w:val="false"/>
          <w:sz w:val="20"/>
        </w:rPr>
        <w:t>$nil</w:t>
      </w:r>
      <w:r>
        <w:rPr>
          <w:rFonts w:ascii="Helvetica;sans-serif" w:hAnsi="Helvetica;sans-serif"/>
          <w:b/>
          <w:caps/>
          <w:sz w:val="22"/>
        </w:rPr>
        <w:t xml:space="preserve"> </w:t>
      </w:r>
      <w:r>
        <w:rPr>
          <w:rFonts w:ascii="Times New Roman;Times;serif" w:hAnsi="Times New Roman;Times;serif"/>
          <w:b w:val="false"/>
          <w:caps/>
          <w:sz w:val="20"/>
        </w:rPr>
        <w:t>and $30.0</w:t>
      </w:r>
      <w:r>
        <w:rPr>
          <w:rFonts w:ascii="Helvetica;sans-serif" w:hAnsi="Helvetica;sans-serif"/>
          <w:b/>
          <w:caps/>
          <w:sz w:val="22"/>
        </w:rPr>
        <w:t xml:space="preserve"> </w:t>
      </w:r>
      <w:r>
        <w:rPr>
          <w:rFonts w:ascii="Times New Roman;Times;serif" w:hAnsi="Times New Roman;Times;serif"/>
          <w:b w:val="false"/>
          <w:caps/>
          <w:sz w:val="20"/>
        </w:rPr>
        <w:t xml:space="preserve">million, respectively. Accordingly, we have recorded a loan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lineRule="auto" w:line="285" w:before="0" w:after="240"/>
        <w:ind w:left="0" w:right="0" w:hanging="0"/>
        <w:jc w:val="left"/>
        <w:rPr>
          <w:rFonts w:ascii="Helvetica;sans-serif" w:hAnsi="Helvetica;sans-serif"/>
          <w:b/>
          <w:caps/>
          <w:sz w:val="22"/>
        </w:rPr>
      </w:pPr>
      <w:r>
        <w:rPr>
          <w:rFonts w:ascii="Times New Roman;Times;serif" w:hAnsi="Times New Roman;Times;serif"/>
          <w:b w:val="false"/>
          <w:caps/>
          <w:sz w:val="20"/>
        </w:rPr>
        <w:t xml:space="preserve">receivable of </w:t>
      </w:r>
      <w:r>
        <w:rPr>
          <w:rFonts w:ascii="Times New Roman;Times;serif" w:hAnsi="Times New Roman;Times;serif"/>
          <w:b w:val="false"/>
          <w:i w:val="false"/>
          <w:caps w:val="false"/>
          <w:smallCaps w:val="false"/>
          <w:sz w:val="20"/>
        </w:rPr>
        <w:t>$nil</w:t>
      </w:r>
      <w:r>
        <w:rPr>
          <w:rFonts w:ascii="Helvetica;sans-serif" w:hAnsi="Helvetica;sans-serif"/>
          <w:b/>
          <w:caps/>
          <w:sz w:val="22"/>
        </w:rPr>
        <w:t xml:space="preserve"> </w:t>
      </w:r>
      <w:r>
        <w:rPr>
          <w:rFonts w:ascii="Times New Roman;Times;serif" w:hAnsi="Times New Roman;Times;serif"/>
          <w:b w:val="false"/>
          <w:caps/>
          <w:sz w:val="20"/>
        </w:rPr>
        <w:t>and $9.0</w:t>
      </w:r>
      <w:r>
        <w:rPr>
          <w:rFonts w:ascii="Helvetica;sans-serif" w:hAnsi="Helvetica;sans-serif"/>
          <w:b/>
          <w:caps/>
          <w:sz w:val="22"/>
        </w:rPr>
        <w:t xml:space="preserve"> </w:t>
      </w:r>
      <w:r>
        <w:rPr>
          <w:rFonts w:ascii="Times New Roman;Times;serif" w:hAnsi="Times New Roman;Times;serif"/>
          <w:b w:val="false"/>
          <w:caps/>
          <w:sz w:val="20"/>
        </w:rPr>
        <w:t>million, respectively, representing our proportionate share of the outstanding borrowings. Olympic Pipeline Company used the proceeds from the member loan to fund a remediation project in 2024. The member loan was repaid in the first half of 2025.</w:t>
      </w:r>
    </w:p>
    <w:p>
      <w:pPr>
        <w:pStyle w:val="TextBody"/>
        <w:bidi w:val="0"/>
        <w:spacing w:before="0" w:after="240"/>
        <w:ind w:left="0" w:right="0" w:hanging="0"/>
        <w:jc w:val="left"/>
        <w:rPr>
          <w:rFonts w:ascii="Times New Roman;Times;serif" w:hAnsi="Times New Roman;Times;serif"/>
          <w:b/>
          <w:sz w:val="20"/>
        </w:rPr>
      </w:pPr>
      <w:bookmarkStart w:id="659" w:name="Tc_l4E8uAV400C6pOVeGLdX7Q_10_5"/>
      <w:bookmarkStart w:id="660" w:name="Tc_GHJveqQ-ekWHJVoYztDP1w_10_2"/>
      <w:bookmarkStart w:id="661" w:name="Tc_WZ3fvoY1ZkudEJ34B7WM2A_9_0"/>
      <w:bookmarkStart w:id="662" w:name="Tc_qggnSCPvOEmAuy4wPBZ1Ig_8_3"/>
      <w:bookmarkStart w:id="663" w:name="Tc_HD6pLp9tJ0OJI2DL0M9CLA_8_0"/>
      <w:bookmarkStart w:id="664" w:name="Tc_tVJ2ySFbVUmre9HnZLK4_A_7_0"/>
      <w:bookmarkStart w:id="665" w:name="Tc_a-DXsMOBOU-OyRJL9OqsvQ_6_0"/>
      <w:bookmarkStart w:id="666" w:name="Tc_AAJetPIC6UySXwizawTy-g_5_0"/>
      <w:bookmarkStart w:id="667" w:name="Tc_O6ALTnBvw0yMhTyBfPa62w_4_0"/>
      <w:bookmarkStart w:id="668" w:name="Tc_Ybh78VEYmEq1OuA5nEBd1A_3_2"/>
      <w:bookmarkStart w:id="669" w:name="Tc_dCqsckLvUU62SX9T7Gir7g_3_0"/>
      <w:bookmarkStart w:id="670" w:name="Tc_ZjZEg0aAh0WEhdaSm5JG_Q_2_5"/>
      <w:bookmarkStart w:id="671" w:name="Tc_blhthiMFx0Cnl3ohKYlcHw_2_2"/>
      <w:bookmarkStart w:id="672" w:name="Tc_XcJ3ECtrj0y4HAd5hznCMA_1_5"/>
      <w:bookmarkStart w:id="673" w:name="Tc_qE9gMdSnMEWWNMo3Z-ozlA_1_2"/>
      <w:bookmarkStart w:id="674" w:name="_3d1de9ce_bc01_4006_a457_ce4eeb3d0b21"/>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Pr>
          <w:rFonts w:ascii="Times New Roman;Times;serif" w:hAnsi="Times New Roman;Times;serif"/>
          <w:b/>
          <w:sz w:val="20"/>
        </w:rPr>
        <w:t>(10) ACCRUED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liabilities were as follows (in thousands):</w:t>
      </w:r>
    </w:p>
    <w:tbl>
      <w:tblPr>
        <w:tblW w:w="7088" w:type="dxa"/>
        <w:jc w:val="left"/>
        <w:tblInd w:w="0" w:type="dxa"/>
        <w:tblLayout w:type="fixed"/>
        <w:tblCellMar>
          <w:top w:w="0" w:type="dxa"/>
          <w:left w:w="0" w:type="dxa"/>
          <w:bottom w:w="0" w:type="dxa"/>
          <w:right w:w="0" w:type="dxa"/>
        </w:tblCellMar>
      </w:tblPr>
      <w:tblGrid>
        <w:gridCol w:w="4066"/>
        <w:gridCol w:w="326"/>
        <w:gridCol w:w="281"/>
        <w:gridCol w:w="904"/>
        <w:gridCol w:w="326"/>
        <w:gridCol w:w="248"/>
        <w:gridCol w:w="937"/>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581910" cy="175260"/>
                      <wp:effectExtent l="0" t="0" r="0" b="0"/>
                      <wp:wrapNone/>
                      <wp:docPr id="153" name="Frame153"/>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8435" cy="175260"/>
                      <wp:effectExtent l="0" t="0" r="0" b="0"/>
                      <wp:wrapNone/>
                      <wp:docPr id="155" name="Frame15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74040" cy="175260"/>
                      <wp:effectExtent l="0" t="0" r="0" b="0"/>
                      <wp:wrapNone/>
                      <wp:docPr id="156" name="Frame15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7480" cy="175260"/>
                      <wp:effectExtent l="0" t="0" r="0" b="0"/>
                      <wp:wrapNone/>
                      <wp:docPr id="158" name="Frame15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4995" cy="175260"/>
                      <wp:effectExtent l="0" t="0" r="0" b="0"/>
                      <wp:wrapNone/>
                      <wp:docPr id="159" name="Frame159"/>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25,540</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6,617</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advances and deposits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13,756</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13,464</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11,759</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14,823</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property taxes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9,154</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Washington State emissions allowances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61,975</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44,223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Customer advances and deposits.</w:t>
      </w:r>
      <w:r>
        <w:rPr>
          <w:rFonts w:ascii="Times New Roman;Times;serif" w:hAnsi="Times New Roman;Times;serif"/>
          <w:sz w:val="20"/>
        </w:rPr>
        <w:t xml:space="preserve"> Customer advances and deposits represents payments received for terminaling services in advance of the terminaling services being provided.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Accrued compensation expense. </w:t>
      </w:r>
      <w:r>
        <w:rPr>
          <w:rFonts w:ascii="Times New Roman;Times;serif" w:hAnsi="Times New Roman;Times;serif"/>
          <w:sz w:val="20"/>
        </w:rPr>
        <w:t>Accrued compensation expense includes our bonus, payroll, and savings and retention plan awards accruals.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b/>
          <w:i/>
          <w:sz w:val="20"/>
        </w:rPr>
        <w:t>Accrued environmental obligations.</w:t>
      </w:r>
      <w:r>
        <w:rPr>
          <w:rFonts w:ascii="Times New Roman;Times;serif" w:hAnsi="Times New Roman;Times;serif"/>
          <w:sz w:val="20"/>
        </w:rPr>
        <w:t xml:space="preserve"> At September 30, 2025 and December 31, 2024, we have accrued environmental obligations of approximately $0.6 million and $0.8 million, respectively, representing our best estimate of our remediation obligations. During the nine months ended September 30, 2025, we made payments of approximately $0.1 million towards our environmental remediation obligations. Changes in our estimates of our future environmental remediation obligations may occur as a result of the passage of time and the occurrence of future events.</w:t>
      </w:r>
      <w:r>
        <w:rPr>
          <w:rFonts w:ascii="Times New Roman;Times;serif" w:hAnsi="Times New Roman;Times;serif"/>
          <w:sz w:val="20"/>
          <w:shd w:fill="FFFFFF" w:val="clear"/>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Accrued Washington State emissions allowances.</w:t>
      </w:r>
      <w:r>
        <w:rPr>
          <w:rFonts w:ascii="Times New Roman;Times;serif" w:hAnsi="Times New Roman;Times;serif"/>
          <w:sz w:val="20"/>
        </w:rPr>
        <w:t xml:space="preserve"> The Washington State Climate Commitment Act (“CCA”), implemented January 1, 2023, was designed to reduce greenhouse gas emissions. Rules implementing the CCA by the Washington Department of Ecology set a cap on greenhouse gas emissions, provide mechanisms for the sale and tracking of tradable emissions allowances, and establish additional compliance and accountability measures. Accrued Washington State </w:t>
      </w:r>
      <w:r>
        <w:rPr>
          <w:rFonts w:ascii="Times New Roman;Times;serif" w:hAnsi="Times New Roman;Times;serif"/>
          <w:color w:val="333333"/>
          <w:sz w:val="20"/>
          <w:shd w:fill="FFFFFF" w:val="clear"/>
        </w:rPr>
        <w:t>emissions allowances represent our obligation under the CCA to obtain emissions allowances </w:t>
      </w:r>
      <w:r>
        <w:rPr>
          <w:rFonts w:ascii="Times New Roman;Times;serif" w:hAnsi="Times New Roman;Times;serif"/>
          <w:sz w:val="20"/>
        </w:rPr>
        <w:t>for certain products sold at the truck rack at our Tacoma, Washington terminal. We record the emissions allowance obligation at market value, net of allowances purchased and record the associated expense as cost of product sales when certain products are sold at the truck rack at our Tacoma, Washington terminal. At September 30, 2025, our emissions allowance purchases exceeded our emissions allowance obligation, therefore our emissions allowance purchases, net were recorded in inventory.</w:t>
      </w:r>
    </w:p>
    <w:p>
      <w:pPr>
        <w:pStyle w:val="TextBody"/>
        <w:bidi w:val="0"/>
        <w:spacing w:before="0" w:after="240"/>
        <w:ind w:left="0" w:right="0" w:hanging="0"/>
        <w:jc w:val="left"/>
        <w:rPr>
          <w:rFonts w:ascii="Times New Roman;Times;serif" w:hAnsi="Times New Roman;Times;serif"/>
          <w:b/>
          <w:sz w:val="20"/>
        </w:rPr>
      </w:pPr>
      <w:bookmarkStart w:id="675" w:name="Tc_RXAUuUR150aoLtrmMY6cAQ_3_6"/>
      <w:bookmarkStart w:id="676" w:name="Tc_xpiwgv0UXkGGCn1Nt2guEQ_3_5"/>
      <w:bookmarkStart w:id="677" w:name="Tc_cOgEFy-Zsk-EL792G4SjSg_3_2"/>
      <w:bookmarkStart w:id="678" w:name="Tc_gJS2ZoaZtkmPzwLy9SyvHA_2_5"/>
      <w:bookmarkStart w:id="679" w:name="Tc_a8eV7rgFn0G9NQjU3VEoPQ_2_2"/>
      <w:bookmarkStart w:id="680" w:name="Tc_JbivUXfNaU6rjG0H4IeFLA_1_5"/>
      <w:bookmarkStart w:id="681" w:name="Tc_YoAvYDURpE-o_zcI0pwT4Q_1_2"/>
      <w:bookmarkEnd w:id="675"/>
      <w:bookmarkEnd w:id="676"/>
      <w:bookmarkEnd w:id="677"/>
      <w:bookmarkEnd w:id="678"/>
      <w:bookmarkEnd w:id="679"/>
      <w:bookmarkEnd w:id="680"/>
      <w:bookmarkEnd w:id="681"/>
      <w:r>
        <w:rPr>
          <w:rFonts w:ascii="Times New Roman;Times;serif" w:hAnsi="Times New Roman;Times;serif"/>
          <w:b/>
          <w:sz w:val="20"/>
        </w:rPr>
        <w:t>(11) OTHER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liabilities was as follows (in thousands):</w:t>
      </w:r>
    </w:p>
    <w:p>
      <w:pPr>
        <w:pStyle w:val="TextBody"/>
        <w:bidi w:val="0"/>
        <w:spacing w:before="0" w:after="0"/>
        <w:ind w:left="0" w:right="0" w:hanging="0"/>
        <w:jc w:val="left"/>
        <w:rPr/>
      </w:pPr>
      <w:r>
        <w:rPr/>
        <w:t>​</w:t>
      </w:r>
    </w:p>
    <w:tbl>
      <w:tblPr>
        <w:tblW w:w="7189" w:type="dxa"/>
        <w:jc w:val="left"/>
        <w:tblInd w:w="0" w:type="dxa"/>
        <w:tblLayout w:type="fixed"/>
        <w:tblCellMar>
          <w:top w:w="0" w:type="dxa"/>
          <w:left w:w="0" w:type="dxa"/>
          <w:bottom w:w="0" w:type="dxa"/>
          <w:right w:w="0" w:type="dxa"/>
        </w:tblCellMar>
      </w:tblPr>
      <w:tblGrid>
        <w:gridCol w:w="4021"/>
        <w:gridCol w:w="326"/>
        <w:gridCol w:w="394"/>
        <w:gridCol w:w="791"/>
        <w:gridCol w:w="326"/>
        <w:gridCol w:w="432"/>
        <w:gridCol w:w="708"/>
        <w:gridCol w:w="19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553335" cy="175260"/>
                      <wp:effectExtent l="0" t="0" r="0" b="0"/>
                      <wp:wrapNone/>
                      <wp:docPr id="160" name="Frame160"/>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50190" cy="175260"/>
                      <wp:effectExtent l="0" t="0" r="0" b="0"/>
                      <wp:wrapNone/>
                      <wp:docPr id="162" name="Frame162"/>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02285" cy="175260"/>
                      <wp:effectExtent l="0" t="0" r="0" b="0"/>
                      <wp:wrapNone/>
                      <wp:docPr id="163" name="Frame16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74320" cy="175260"/>
                      <wp:effectExtent l="0" t="0" r="0" b="0"/>
                      <wp:wrapNone/>
                      <wp:docPr id="165" name="Frame165"/>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49580" cy="175260"/>
                      <wp:effectExtent l="0" t="0" r="0" b="0"/>
                      <wp:wrapNone/>
                      <wp:docPr id="166" name="Frame166"/>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1285" cy="175260"/>
                      <wp:effectExtent l="0" t="0" r="0" b="0"/>
                      <wp:wrapNone/>
                      <wp:docPr id="167" name="Frame16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interest rate swap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326" w:type="dxa"/>
            <w:tcBorders/>
            <w:shd w:fill="CCEEFF" w:val="clear"/>
            <w:vAlign w:val="center"/>
          </w:tcPr>
          <w:p>
            <w:pPr>
              <w:pStyle w:val="TableContents"/>
              <w:bidi w:val="0"/>
              <w:spacing w:before="0" w:after="0"/>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682" w:name="Tc_mVSzRlxOaEu6W-wTXBciLw_4_2"/>
      <w:bookmarkStart w:id="683" w:name="Tc_w-iBC8Jiw0GkHKJPDg-orA_4_0"/>
      <w:bookmarkStart w:id="684" w:name="Tc_Ek5BGbOFwkWd-QrxEjsFJg_3_0"/>
      <w:bookmarkStart w:id="685" w:name="Tc_jxJVtmeQGEe2f13FpgpZNQ_2_0"/>
      <w:bookmarkStart w:id="686" w:name="Tc_cS-L86jj-0mVAOciEz-o3Q_1_2"/>
      <w:bookmarkStart w:id="687" w:name="Tc_mnqMnrswa0yIqg2LInX0aA_1_0"/>
      <w:bookmarkStart w:id="688" w:name="_5e7389ff_579e_4168_82e6_ea1c6beb7fef"/>
      <w:bookmarkStart w:id="689" w:name="Tc_S6InGxwXtUSUCWRbX0534w_11_5"/>
      <w:bookmarkStart w:id="690" w:name="Tc_U5goZrgmiUyAg5wZ8ZTxyw_11_2"/>
      <w:bookmarkStart w:id="691" w:name="Tc_AwT5QaUfFkCZKJNQ3K9SyQ_11_0"/>
      <w:bookmarkStart w:id="692" w:name="Tc_J3vAP_TPBkq1a7-0BjjS9A_10_0"/>
      <w:bookmarkStart w:id="693" w:name="Tc_vHZbkDkwKU-M4fgCBEiDtQ_9_0"/>
      <w:bookmarkStart w:id="694" w:name="Tc_jXft_9RABUCidyY88lPbJw_8_0"/>
      <w:bookmarkStart w:id="695" w:name="Tc_SQSIF_n1Y0C57OuJhINxWQ_7_3"/>
      <w:bookmarkStart w:id="696" w:name="Tc_xN4ukDhGgUqOttXLpULNZw_7_0"/>
      <w:bookmarkStart w:id="697" w:name="Tc_Gl9ghjHqB0-zLc0xI9N9sg_6_6"/>
      <w:bookmarkStart w:id="698" w:name="Tc_SKGOhTciJ0KabXOcQSxJIg_6_0"/>
      <w:bookmarkStart w:id="699" w:name="Tc_u4GROTpaFEK3KRux-yFTlQ_5_3"/>
      <w:bookmarkStart w:id="700" w:name="Tc_2Jsor-ZLxkKvGuq2kusNnQ_5_0"/>
      <w:bookmarkStart w:id="701" w:name="Tc_z95zB5uY20umqO7s-L8uhw_4_5"/>
      <w:bookmarkStart w:id="702" w:name="Tc_wB1fbBszLEi8uUg-E6u6RQ_4_2"/>
      <w:bookmarkStart w:id="703" w:name="Tc_gq-sYBXtXE-X0D954vYEVQ_4_0"/>
      <w:bookmarkStart w:id="704" w:name="Tc_LXyEJAjVjE2BRoAbcvVKVg_3_5"/>
      <w:bookmarkStart w:id="705" w:name="Tc_E6p8dhIsjEGJtXtsgyjLjQ_3_2"/>
      <w:bookmarkStart w:id="706" w:name="Tc_JWymJ2bij0aWjFpuMxxDkQ_2_5"/>
      <w:bookmarkStart w:id="707" w:name="Tc_U9px4FpMOUm8suajr-aMjA_2_2"/>
      <w:bookmarkStart w:id="708" w:name="_843988db_1558_4599_b480_20032efec42d"/>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r>
        <w:rPr>
          <w:rFonts w:ascii="Times New Roman;Times;serif" w:hAnsi="Times New Roman;Times;serif"/>
          <w:b/>
          <w:sz w:val="20"/>
        </w:rPr>
        <w:t>(12) DEBT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Long-term debt, net of deferred debt issuance costs is as follows (in thousands):</w:t>
      </w:r>
    </w:p>
    <w:tbl>
      <w:tblPr>
        <w:tblW w:w="7327" w:type="dxa"/>
        <w:jc w:val="left"/>
        <w:tblInd w:w="0" w:type="dxa"/>
        <w:tblLayout w:type="fixed"/>
        <w:tblCellMar>
          <w:top w:w="0" w:type="dxa"/>
          <w:left w:w="0" w:type="dxa"/>
          <w:bottom w:w="0" w:type="dxa"/>
          <w:right w:w="0" w:type="dxa"/>
        </w:tblCellMar>
      </w:tblPr>
      <w:tblGrid>
        <w:gridCol w:w="4231"/>
        <w:gridCol w:w="326"/>
        <w:gridCol w:w="219"/>
        <w:gridCol w:w="966"/>
        <w:gridCol w:w="326"/>
        <w:gridCol w:w="211"/>
        <w:gridCol w:w="1048"/>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86685" cy="175260"/>
                      <wp:effectExtent l="0" t="0" r="0" b="0"/>
                      <wp:wrapNone/>
                      <wp:docPr id="168" name="Frame168"/>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9065" cy="175260"/>
                      <wp:effectExtent l="0" t="0" r="0" b="0"/>
                      <wp:wrapNone/>
                      <wp:docPr id="170" name="Frame17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13410" cy="175260"/>
                      <wp:effectExtent l="0" t="0" r="0" b="0"/>
                      <wp:wrapNone/>
                      <wp:docPr id="171" name="Frame171"/>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65480" cy="175260"/>
                      <wp:effectExtent l="0" t="0" r="0" b="0"/>
                      <wp:wrapNone/>
                      <wp:docPr id="174" name="Frame174"/>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secured term loans outstanding </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1,113,082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1,118,849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 outstanding</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8.500% senior unsecured notes due in 2030</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6.125% senior notes due in 2026</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299,900</w:t>
            </w:r>
          </w:p>
        </w:tc>
      </w:tr>
      <w:tr>
        <w:trPr/>
        <w:tc>
          <w:tcPr>
            <w:tcW w:w="42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Unamortized deferred debt issuance costs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net of deferred debt issuance costs</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1,593,721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1,419,443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senior secured 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debt issuance costs</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1,582,590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1,407,908</w:t>
            </w:r>
          </w:p>
        </w:tc>
      </w:tr>
    </w:tbl>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Deferred debt issuance costs are amortized using the effective interest method over the applicable term of the senior secured term loans and senior notes. For the three months ended September 30, 2025 and 2024, amortization of deferred debt issuance costs was approximately $1.3</w:t>
            </w:r>
            <w:r>
              <w:rPr>
                <w:caps w:val="false"/>
                <w:smallCaps w:val="false"/>
              </w:rPr>
              <w:t xml:space="preserve"> </w:t>
            </w:r>
            <w:r>
              <w:rPr>
                <w:rFonts w:ascii="Times New Roman;Times;serif" w:hAnsi="Times New Roman;Times;serif"/>
                <w:b w:val="false"/>
                <w:i w:val="false"/>
                <w:caps w:val="false"/>
                <w:smallCaps w:val="false"/>
                <w:sz w:val="20"/>
              </w:rPr>
              <w:t>million and $1.2</w:t>
            </w:r>
            <w:r>
              <w:rPr>
                <w:caps w:val="false"/>
                <w:smallCaps w:val="false"/>
              </w:rPr>
              <w:t xml:space="preserve"> </w:t>
            </w:r>
            <w:r>
              <w:rPr>
                <w:rFonts w:ascii="Times New Roman;Times;serif" w:hAnsi="Times New Roman;Times;serif"/>
                <w:b w:val="false"/>
                <w:i w:val="false"/>
                <w:caps w:val="false"/>
                <w:smallCaps w:val="false"/>
                <w:sz w:val="20"/>
              </w:rPr>
              <w:t>million, respectively. For the nine months ended September 30, 2025 and 2024, amortization of deferred debt issuance costs was approximately $3.8</w:t>
            </w:r>
            <w:r>
              <w:rPr>
                <w:caps w:val="false"/>
                <w:smallCaps w:val="false"/>
              </w:rPr>
              <w:t xml:space="preserve"> </w:t>
            </w:r>
            <w:r>
              <w:rPr>
                <w:rFonts w:ascii="Times New Roman;Times;serif" w:hAnsi="Times New Roman;Times;serif"/>
                <w:b w:val="false"/>
                <w:i w:val="false"/>
                <w:caps w:val="false"/>
                <w:smallCaps w:val="false"/>
                <w:sz w:val="20"/>
              </w:rPr>
              <w:t>million and $3.4</w:t>
            </w:r>
            <w:r>
              <w:rPr>
                <w:caps w:val="false"/>
                <w:smallCaps w:val="false"/>
              </w:rPr>
              <w:t xml:space="preserve"> </w:t>
            </w:r>
            <w:r>
              <w:rPr>
                <w:rFonts w:ascii="Times New Roman;Times;serif" w:hAnsi="Times New Roman;Times;serif"/>
                <w:b w:val="false"/>
                <w:i w:val="false"/>
                <w:caps w:val="false"/>
                <w:smallCaps w:val="false"/>
                <w:sz w:val="20"/>
              </w:rPr>
              <w:t>million, respectively. For the three months ended September 30, 2025 and 2024, loss on extinguishment expense was approximately $1.5</w:t>
            </w:r>
            <w:r>
              <w:rPr>
                <w:caps w:val="false"/>
                <w:smallCaps w:val="false"/>
              </w:rPr>
              <w:t xml:space="preserve"> </w:t>
            </w:r>
            <w:r>
              <w:rPr>
                <w:rFonts w:ascii="Times New Roman;Times;serif" w:hAnsi="Times New Roman;Times;serif"/>
                <w:b w:val="false"/>
                <w:i w:val="false"/>
                <w:caps w:val="false"/>
                <w:smallCaps w:val="false"/>
                <w:sz w:val="20"/>
              </w:rPr>
              <w:t>million and $nil, respectively. For the nine months ended September 30, 2025 and 2024, loss on extinguishment expense was $2.8</w:t>
            </w:r>
            <w:r>
              <w:rPr>
                <w:caps w:val="false"/>
                <w:smallCaps w:val="false"/>
              </w:rPr>
              <w:t xml:space="preserve"> </w:t>
            </w:r>
            <w:r>
              <w:rPr>
                <w:rFonts w:ascii="Times New Roman;Times;serif" w:hAnsi="Times New Roman;Times;serif"/>
                <w:b w:val="false"/>
                <w:i w:val="false"/>
                <w:caps w:val="false"/>
                <w:smallCaps w:val="false"/>
                <w:sz w:val="20"/>
              </w:rPr>
              <w:t>million and $nil, respectively.</w:t>
            </w:r>
            <w:r>
              <w:rPr>
                <w:caps w:val="false"/>
                <w:smallCaps w:val="false"/>
              </w:rPr>
              <w:t xml:space="preserve"> </w:t>
            </w:r>
            <w:r>
              <w:rPr>
                <w:rFonts w:ascii="Times New Roman;Times;serif" w:hAnsi="Times New Roman;Times;serif"/>
                <w:b w:val="false"/>
                <w:i w:val="false"/>
                <w:caps w:val="false"/>
                <w:smallCaps w:val="false"/>
                <w:sz w:val="20"/>
              </w:rPr>
              <w:t>For both the three and nine months ended September 30, 2025 and 2024, expense related to one-time debt issuance costs to amend the Credit Agreement was approximately $1.2</w:t>
            </w:r>
            <w:r>
              <w:rPr>
                <w:caps w:val="false"/>
                <w:smallCaps w:val="false"/>
              </w:rPr>
              <w:t xml:space="preserve"> </w:t>
            </w:r>
            <w:r>
              <w:rPr>
                <w:rFonts w:ascii="Times New Roman;Times;serif" w:hAnsi="Times New Roman;Times;serif"/>
                <w:b w:val="false"/>
                <w:i w:val="false"/>
                <w:caps w:val="false"/>
                <w:smallCaps w:val="false"/>
                <w:sz w:val="20"/>
              </w:rPr>
              <w:t>million and $nil, respectively.</w:t>
            </w:r>
          </w:p>
        </w:tc>
      </w:tr>
    </w:tbl>
    <w:p>
      <w:pPr>
        <w:pStyle w:val="TextBody"/>
        <w:bidi w:val="0"/>
        <w:spacing w:before="0" w:after="0"/>
        <w:ind w:left="0" w:right="0" w:hanging="0"/>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b/>
          <w:i/>
          <w:sz w:val="20"/>
        </w:rPr>
        <w:t>Credit agreement.</w:t>
      </w:r>
      <w:r>
        <w:rPr>
          <w:rFonts w:ascii="Times New Roman;Times;serif" w:hAnsi="Times New Roman;Times;serif"/>
          <w:sz w:val="20"/>
        </w:rPr>
        <w:t xml:space="preserve"> On November 17, 2021, the Company, as parent guarantor, and TransMontaigne Operating Company L.P., our wholly owned subsidiary, entered into the Credit Agreement (“Credit Agreement”) for $1 billion senior secured term loans and a $150 million revolving credit facility, with a letter of credit subfacility of $35 million. On April 15, 2024, we entered into Amendment No. 2 to the Credit Agreement for a new tranche of senior secured term loans in an aggregate principal amount of $150 million. The other terms and conditions of the Credit Agreement were unchanged. </w:t>
      </w:r>
    </w:p>
    <w:p>
      <w:pPr>
        <w:pStyle w:val="TextBody"/>
        <w:bidi w:val="0"/>
        <w:spacing w:before="0" w:after="0"/>
        <w:ind w:left="0" w:right="0" w:firstLine="648"/>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Proceeds from the $150 million senior secured term loans were used as follows (in thousands):</w:t>
      </w:r>
    </w:p>
    <w:p>
      <w:pPr>
        <w:pStyle w:val="TextBody"/>
        <w:bidi w:val="0"/>
        <w:spacing w:before="0" w:after="0"/>
        <w:ind w:left="0" w:right="0" w:firstLine="720"/>
        <w:jc w:val="left"/>
        <w:rPr/>
      </w:pPr>
      <w:r>
        <w:rPr/>
        <w:t>​</w:t>
      </w:r>
    </w:p>
    <w:tbl>
      <w:tblPr>
        <w:tblW w:w="6244" w:type="dxa"/>
        <w:jc w:val="left"/>
        <w:tblInd w:w="0" w:type="dxa"/>
        <w:tblLayout w:type="fixed"/>
        <w:tblCellMar>
          <w:top w:w="0" w:type="dxa"/>
          <w:left w:w="0" w:type="dxa"/>
          <w:bottom w:w="0" w:type="dxa"/>
          <w:right w:w="0" w:type="dxa"/>
        </w:tblCellMar>
      </w:tblPr>
      <w:tblGrid>
        <w:gridCol w:w="5026"/>
        <w:gridCol w:w="109"/>
        <w:gridCol w:w="211"/>
        <w:gridCol w:w="898"/>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191510" cy="175260"/>
                      <wp:effectExtent l="0" t="0" r="0" b="0"/>
                      <wp:wrapNone/>
                      <wp:docPr id="175" name="Frame175"/>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70230" cy="175260"/>
                      <wp:effectExtent l="0" t="0" r="0" b="0"/>
                      <wp:wrapNone/>
                      <wp:docPr id="178" name="Frame17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110,401</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TLP Finance Holdings, LLC for debt service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36,677</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$150 million senior secured term loans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150,000</w:t>
            </w:r>
          </w:p>
        </w:tc>
      </w:tr>
    </w:tbl>
    <w:p>
      <w:pPr>
        <w:pStyle w:val="TextBody"/>
        <w:bidi w:val="0"/>
        <w:spacing w:lineRule="auto" w:line="319" w:before="0" w:after="0"/>
        <w:ind w:left="0" w:right="0" w:hanging="0"/>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The senior secured term loans will mature on November 17, 2028. Our obligations under the Credit Agreement are guaranteed by the Company, TransMontaigne Operating Company L.P. and all of its subsidiaries, and secured by a first priority security interest in favor of the lenders in substantially all of the Company’s, TransMontaigne Operating Company L.P.’s and all of its subsidiaries’ assets, including our investments in unconsolidated affiliates.</w:t>
      </w:r>
    </w:p>
    <w:p>
      <w:pPr>
        <w:pStyle w:val="TextBody"/>
        <w:bidi w:val="0"/>
        <w:spacing w:before="100" w:after="10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28, 2024, the Company, as parent guarantor, and TransMontaigne Operating Company L.P., our wholly owned subsidiary, entered into Amendment No. 3 to the Credit Agreement, which provides for, among other things, (i) the reduction of the applicable margin of the senior secured term loans under the Credit Agreement (the “Repricing”) and (ii) the removal of the credit spread adjustment from the Term SOFR applicable to the senior secured term loans under the Credit Agreement. After giving effect to the Repricing and the removal of the credit spread adjustment, senior secured term loans under the Credit Agreement accrue interest at a per annum rate equal to, at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election, either a Term SOFR plus an applicable margin of 3.25% or an alternate base rate plus an applicable margin of 2.25%. The other terms and conditions of the Credit Agreement, as amended by Amendment No. 3, remain unchanged.</w:t>
      </w:r>
    </w:p>
    <w:p>
      <w:pPr>
        <w:pStyle w:val="TextBody"/>
        <w:bidi w:val="0"/>
        <w:spacing w:before="100" w:after="100"/>
        <w:ind w:left="0" w:right="0" w:firstLine="720"/>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 xml:space="preserve">Prior to October 28, 2024, we could elect to have loans under the Credit Agreement bear interest, at either a Term SOFR plus 0.11448% (subject to a 0.50% floor) plus an applicable margin of 3.50% or an alternate base rate plus an applicable margin of 2.50% per annum. Thereafter, Amendment No. 3 rates apply to the senior secured term loans. We are also required to pay (i) a letter of credit fee of 3.50% per annum on the aggregate face amount of all outstanding letters of credit, (ii) to the issuing lender of each letter of credit, a fronting fee of no less than 0.125% per annum on the outstanding amount of each such letter of credit and (iii) commitment fees of 0.50% per annum on the daily unused amount of the revolving credit facility, in each case quarterly in arrears. </w:t>
      </w:r>
    </w:p>
    <w:p>
      <w:pPr>
        <w:pStyle w:val="TextBody"/>
        <w:bidi w:val="0"/>
        <w:spacing w:before="0" w:after="0"/>
        <w:ind w:left="0" w:right="0" w:firstLine="648"/>
        <w:jc w:val="left"/>
        <w:rPr/>
      </w:pPr>
      <w:r>
        <w:rPr/>
        <w:t>​</w:t>
      </w:r>
    </w:p>
    <w:p>
      <w:pPr>
        <w:pStyle w:val="TextBody"/>
        <w:bidi w:val="0"/>
        <w:spacing w:before="0" w:after="0"/>
        <w:ind w:left="0" w:right="0" w:firstLine="648"/>
        <w:jc w:val="left"/>
        <w:rPr>
          <w:rFonts w:ascii="Times New Roman;Times;serif" w:hAnsi="Times New Roman;Times;serif"/>
          <w:sz w:val="18"/>
        </w:rPr>
      </w:pPr>
      <w:r>
        <w:rPr>
          <w:rFonts w:ascii="Times New Roman;Times;serif" w:hAnsi="Times New Roman;Times;serif"/>
          <w:sz w:val="20"/>
        </w:rPr>
        <w:t>On February 5, 2025, the Company, as parent guarantor, and TransMontaigne Operating Company L.P., our wholly owned subsidiary, entered into Amendment No. 4 to the Credit Agreement, which provides for, among other things,</w:t>
      </w:r>
      <w:r>
        <w:rPr>
          <w:rFonts w:ascii="Times New Roman;Times;serif" w:hAnsi="Times New Roman;Times;serif"/>
          <w:sz w:val="18"/>
        </w:rPr>
        <w:t xml:space="preserve"> </w:t>
      </w:r>
      <w:r>
        <w:rPr>
          <w:rFonts w:ascii="Times New Roman;Times;serif" w:hAnsi="Times New Roman;Times;serif"/>
          <w:sz w:val="20"/>
        </w:rPr>
        <w:t>(i) the extension of the maturity date with respect to the revolving credit facility (the “Extension”) and (ii) the reduction of the applicable margin of the loans under the revolving credit facility (the “RCF Repricing”). After giving effect to the Extension and RCF Repricing, (i) the maturity date of the revolving credit facility shall be the earlier of August 31, 2029 or, to the extent that any senior secured term loans under the Credit Agreement remain outstanding, the date that is ninety-one</w:t>
      </w:r>
      <w:r>
        <w:rPr>
          <w:rFonts w:ascii="Times New Roman;Times;serif" w:hAnsi="Times New Roman;Times;serif"/>
          <w:sz w:val="18"/>
        </w:rPr>
        <w:t xml:space="preserve"> </w:t>
      </w:r>
      <w:r>
        <w:rPr>
          <w:rFonts w:ascii="Times New Roman;Times;serif" w:hAnsi="Times New Roman;Times;serif"/>
          <w:sz w:val="20"/>
        </w:rPr>
        <w:t>(91) days prior to the maturity date of such senior secured term loans under the Credit Agreement (taking into account any extensions or refinancings thereof) and (ii) loans under the revolving credit facility accrue interest at a per annum rate equal to, at our election, either a Term SOFR plus an applicable margin of 3.00%</w:t>
      </w:r>
      <w:r>
        <w:rPr>
          <w:rFonts w:ascii="Times New Roman;Times;serif" w:hAnsi="Times New Roman;Times;serif"/>
          <w:sz w:val="18"/>
        </w:rPr>
        <w:t xml:space="preserve"> </w:t>
      </w:r>
      <w:r>
        <w:rPr>
          <w:rFonts w:ascii="Times New Roman;Times;serif" w:hAnsi="Times New Roman;Times;serif"/>
          <w:sz w:val="20"/>
        </w:rPr>
        <w:t>or an alternate base rate plus an applicable margin of 2.00%. The other terms and conditions of the Credit Agreement, as amended by Amendment No. 4, remain unchanged.</w:t>
      </w:r>
    </w:p>
    <w:p>
      <w:pPr>
        <w:pStyle w:val="TextBody"/>
        <w:bidi w:val="0"/>
        <w:spacing w:before="0" w:after="0"/>
        <w:ind w:left="0" w:right="0" w:firstLine="648"/>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On August 1, 2025, the Company, as parent guarantor, and TransMontaigne Operating Company L.P., our wholly owned subsidiary, entered into Amendment No. 5 to the Credit Agreement, which provides for, among other things, the reduction of the applicable margin of the senior secured term loans under the Credit Agreement (the “TL Repricing”). After giving effect to the TL Repricing, senior secured term loans under the Credit Agreement accrue interest at a per annum rate equal to, at our election, either Term SOFR plus an applicable margin of 2.5% or an alternate base rate plus an applicable margin of 1.5%. The other terms and conditions of the Credit Agreement, as amended by Amendment No. 5, remain unchanged.</w:t>
      </w:r>
    </w:p>
    <w:p>
      <w:pPr>
        <w:pStyle w:val="TextBody"/>
        <w:bidi w:val="0"/>
        <w:spacing w:before="0" w:after="0"/>
        <w:ind w:left="0" w:right="0" w:firstLine="648"/>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9, 2025, the Company, as parent guarantor, and TransMontaigne Operating Company L.P., our wholly owned subsidiary, made a $170 million prepayment on our senior secured term loans with the proceeds from the sale of the Fisher Island terminal facility (see Note 1 of Notes to consolidated financial statements).</w:t>
      </w:r>
    </w:p>
    <w:p>
      <w:pPr>
        <w:pStyle w:val="TextBody"/>
        <w:bidi w:val="0"/>
        <w:spacing w:before="0" w:after="240"/>
        <w:ind w:left="0" w:right="0" w:firstLine="720"/>
        <w:jc w:val="left"/>
        <w:rPr>
          <w:rFonts w:ascii="Helvetica;sans-serif" w:hAnsi="Helvetica;sans-serif"/>
          <w:sz w:val="20"/>
        </w:rPr>
      </w:pPr>
      <w:r>
        <w:rPr>
          <w:rFonts w:ascii="Times New Roman;Times;serif" w:hAnsi="Times New Roman;Times;serif"/>
          <w:sz w:val="20"/>
        </w:rPr>
        <w:t>The Credit Agreement contains various covenants, including, but not limited to, limitations on the incurrence of indebtedness, permitted investments, liens on assets, making distributions, transactions with affiliates, mergers, consolidations, dispositions of assets and other provisions customary in similar types of agreements. The Credit Agreement requires compliance with (a) a consolidated debt service coverage ratio of no less than 1.1</w:t>
      </w:r>
      <w:r>
        <w:rPr>
          <w:rFonts w:ascii="Helvetica;sans-serif" w:hAnsi="Helvetica;sans-serif"/>
          <w:sz w:val="20"/>
        </w:rPr>
        <w:t xml:space="preserve"> </w:t>
      </w:r>
      <w:r>
        <w:rPr>
          <w:rFonts w:ascii="Times New Roman;Times;serif" w:hAnsi="Times New Roman;Times;serif"/>
          <w:sz w:val="20"/>
        </w:rPr>
        <w:t>to 1.0</w:t>
      </w:r>
      <w:r>
        <w:rPr>
          <w:rFonts w:ascii="Helvetica;sans-serif" w:hAnsi="Helvetica;sans-serif"/>
          <w:sz w:val="20"/>
        </w:rPr>
        <w:t xml:space="preserve"> </w:t>
      </w:r>
      <w:r>
        <w:rPr>
          <w:rFonts w:ascii="Times New Roman;Times;serif" w:hAnsi="Times New Roman;Times;serif"/>
          <w:sz w:val="20"/>
        </w:rPr>
        <w:t>and (b) if the aggregate outstanding amount of all revolving loans and drawn letters of credit exceeds an amount equal to 35%</w:t>
      </w:r>
      <w:r>
        <w:rPr>
          <w:rFonts w:ascii="Helvetica;sans-serif" w:hAnsi="Helvetica;sans-serif"/>
          <w:sz w:val="20"/>
        </w:rPr>
        <w:t xml:space="preserve"> </w:t>
      </w:r>
      <w:r>
        <w:rPr>
          <w:rFonts w:ascii="Times New Roman;Times;serif" w:hAnsi="Times New Roman;Times;serif"/>
          <w:sz w:val="20"/>
        </w:rPr>
        <w:t>of the aggregate revolving commitments, a consolidated senior secured net leverage ratio of no greater than 6.75</w:t>
      </w:r>
      <w:r>
        <w:rPr>
          <w:rFonts w:ascii="Helvetica;sans-serif" w:hAnsi="Helvetica;sans-serif"/>
          <w:sz w:val="20"/>
        </w:rPr>
        <w:t xml:space="preserve"> </w:t>
      </w:r>
      <w:r>
        <w:rPr>
          <w:rFonts w:ascii="Times New Roman;Times;serif" w:hAnsi="Times New Roman;Times;serif"/>
          <w:sz w:val="20"/>
        </w:rPr>
        <w:t xml:space="preserve">to 1.00. We were in compliance with all financial covenants as of and during the nine months ended September 30, 2025 and the year ended December 31, 2024.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September 30, 2025 and 2024, the weighted average interest rate on borrowings was approximately 6.7% and 7.5%, respectively. At both September 30, 2025 and December 31, 2024, our outstanding letters of credit were approximately $0.4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Senior notes.</w:t>
      </w:r>
      <w:r>
        <w:rPr>
          <w:rFonts w:ascii="Times New Roman;Times;serif" w:hAnsi="Times New Roman;Times;serif"/>
          <w:sz w:val="20"/>
        </w:rPr>
        <w:t xml:space="preserve"> On February 12, 2018, the Company and TLP Finance Corp., our wholly owned subsidiary, issued at par $300 million of 6.125% senior notes, due in 2026. On February 21, 2025, the Company closed on our offering of $500 million aggregate principal amount of 8.500% senior unsecured notes due in 2030 at an issue price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100% in a private offering that is exempt from the registration requirements of the Securities Act of 1933, as amended. The senior unsecured notes are guaranteed on a senior unsecured basis by all of the Company’s subsidiaries that guarantee our Credit Agreement. Proceeds from the $500 million senior unsecured notes were used to redeem all of our 6.125% senior notes due in 2026 of approximately $299.9 million, fund distributions to TLP Finance Holdings, LLC of approximately $172.8 million to repay TLP Finance Holdings, LLC’s term loan due in 2025 and fees and expenses in connection with the transaction, repay borrowings under our revolving credit facility of approximately $4.0 million, and approximately $9.2 million of debt issuance costs, with the remainder used for general corporate purposes.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voluntarily filing with the Securities and Exchange Commission pursuant to the covenants contained in the 6.125% senior notes and beginning February 21, 2025, the 8.500% senior unsecured notes. These notes contain customary covenants (including those relating to our voluntary filing of this Quarterly Report on Form 10-Q and certain restrictions and obligations with respect to types of payments we may make, indebtedness we may incur, transactions we may pursue, or changes in our control) and customary events of default (including those relating to monetary defaults, covenant defaults, cross defaults and bankruptcy events). We may, at any time and from time to time, seek to retire or purchase our outstanding debt through cash purchases, open-market purchases, privately negotiated transactions or otherwise. Such repurchases, if any, will be upon such terms and at such prices as we may determine, and will depend on prevailing market conditions, our liquidity requirements, contractual restrictions and other factors. The amounts involved may be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TransMontaigne Partners LLC has no independent assets or </w:t>
      </w:r>
      <w:r>
        <w:rPr>
          <w:rFonts w:ascii="Times New Roman;Times;serif" w:hAnsi="Times New Roman;Times;serif"/>
          <w:b w:val="false"/>
          <w:i w:val="false"/>
          <w:caps w:val="false"/>
          <w:smallCaps w:val="false"/>
          <w:sz w:val="20"/>
        </w:rPr>
        <w:t>operations</w:t>
      </w:r>
      <w:r>
        <w:rPr>
          <w:rFonts w:ascii="Times New Roman;Times;serif" w:hAnsi="Times New Roman;Times;serif"/>
          <w:sz w:val="20"/>
        </w:rPr>
        <w:t xml:space="preserve"> unrelated to its investments in its consolidated subsidiaries. TLP Finance Corp. has no assets or </w:t>
      </w:r>
      <w:r>
        <w:rPr>
          <w:rFonts w:ascii="Times New Roman;Times;serif" w:hAnsi="Times New Roman;Times;serif"/>
          <w:b w:val="false"/>
          <w:i w:val="false"/>
          <w:caps w:val="false"/>
          <w:smallCaps w:val="false"/>
          <w:sz w:val="20"/>
        </w:rPr>
        <w:t>operations</w:t>
      </w:r>
      <w:r>
        <w:rPr>
          <w:rFonts w:ascii="Times New Roman;Times;serif" w:hAnsi="Times New Roman;Times;serif"/>
          <w:sz w:val="20"/>
        </w:rPr>
        <w:t>. Our operations are conducted by subsidiaries of TransMontaigne Partners LLC through our 100% owned operating company subsidiary, TransMontaigne Operating Company L.P. None of the assets of TransMontaigne Partners LLC or a guarantor represent restricted net assets pursuant to the guidelines established by the Securities and Exchange Commission.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DEFERRED COMPENSATION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a savings and retention plan to compensate certain employees who provide services to the Company. The purpose of the savings and retention plan is to provide for the reward and retention of participants by providing them with awards that vest over future service periods. Awards under the plan with respect to individuals providing services to the Company generally become vested as to 50% of a participant’s annual award as of the first day of the month that falls closest to the second anniversary of the grant date, and the remaining 50% as of the first day of the month that falls closest to the third anniversary of the grant date, subject to earlier vesting upon a participant’s attainment of the age and length of service thresholds, retirement, death or disability, involuntary termination without cause, or termination of a participant’s employment following a change in control of the Company as specified in the plan. The awards are increased for the value of any accrued growth based on underlying investments deemed made with respect to the awards. The awards (including any accrued growth relating thereto) are subject to forfeiture until the vesting date. A person will satisfy the age and length of service thresholds of the plan upon the attainment of the earliest of (a) age </w:t>
      </w:r>
      <w:r>
        <w:rPr>
          <w:rFonts w:ascii="Times New Roman;Times;serif" w:hAnsi="Times New Roman;Times;serif"/>
          <w:b w:val="false"/>
          <w:i w:val="false"/>
          <w:caps w:val="false"/>
          <w:smallCaps w:val="false"/>
          <w:sz w:val="20"/>
        </w:rPr>
        <w:t>sixty</w:t>
      </w:r>
      <w:r>
        <w:rPr>
          <w:rFonts w:ascii="Times New Roman;Times;serif" w:hAnsi="Times New Roman;Times;serif"/>
          <w:sz w:val="20"/>
        </w:rPr>
        <w:t xml:space="preserve">, (b) age </w:t>
      </w:r>
      <w:r>
        <w:rPr>
          <w:rFonts w:ascii="Times New Roman;Times;serif" w:hAnsi="Times New Roman;Times;serif"/>
          <w:b w:val="false"/>
          <w:i w:val="false"/>
          <w:caps w:val="false"/>
          <w:smallCaps w:val="false"/>
          <w:sz w:val="20"/>
        </w:rPr>
        <w:t>fifty-five</w:t>
      </w:r>
      <w:r>
        <w:rPr>
          <w:rFonts w:ascii="Times New Roman;Times;serif" w:hAnsi="Times New Roman;Times;serif"/>
          <w:sz w:val="20"/>
        </w:rPr>
        <w:t xml:space="preserve"> and ten years of service as an officer of the Company or any of its affiliates or predecessors, or (c) age </w:t>
      </w:r>
      <w:r>
        <w:rPr>
          <w:rFonts w:ascii="Times New Roman;Times;serif" w:hAnsi="Times New Roman;Times;serif"/>
          <w:b w:val="false"/>
          <w:i w:val="false"/>
          <w:caps w:val="false"/>
          <w:smallCaps w:val="false"/>
          <w:sz w:val="20"/>
        </w:rPr>
        <w:t>fifty</w:t>
      </w:r>
      <w:r>
        <w:rPr>
          <w:rFonts w:ascii="Times New Roman;Times;serif" w:hAnsi="Times New Roman;Times;serif"/>
          <w:sz w:val="20"/>
        </w:rPr>
        <w:t xml:space="preserve"> and twenty years of service as an employee of the Company or any of its affiliates or predecessors.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the intent and ability to settle the savings and retention plan awards in cash, and accordingly, we account for the awards as accrued liabilities. For savings and retention plan awards to employees, approximately $0.3 million is included in deferred compensation expense for both of the three months ended September 30, 2025 and 2024. For savings and retention plan awards to employees, approximately $1.5 million and $1.6 million is included in deferred compensation expense for the nine months ended September 30, 2025 and 2024,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14, 2023, an indirect parent of the Company granted class B units and modified existing class B units in the indirect parent of the Company to the officers of TMC. For the three months ended September 30, 2025 and 2024, we recognized approximately $0.2 million and $0.3 million, respectively, of deferred compensation expense in our consolidated statements of operations, non-cash contribution from parent entities in our consolidated statements of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non-cash equity-based compensation in our consolidated statements of cash flows related to the class B units. For the nine months ended September 30, 2025 and 2024, we recognized approximately $0.5 million and $1.6 million, respectively, of deferred compensation expense in our consolidated statements of operations, non-cash contribution from parent entities in our consolidated statements of equity and non-cash equity-based compensation in our consolidated statements of cash flows related to the class B units.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09" w:name="Tc_NJrsLeY9ykWcuyRxadGd3Q_6_0"/>
      <w:bookmarkStart w:id="710" w:name="Tc_3Lz5lcYQ8kWDTN7jHhW1ng_5_0"/>
      <w:bookmarkStart w:id="711" w:name="Tc_61lJD9I6gkiKMesgtA69oQ_4_11"/>
      <w:bookmarkStart w:id="712" w:name="Tc_uF_59GWSN0CnoppZyq1lwg_4_8"/>
      <w:bookmarkStart w:id="713" w:name="Tc_d54KpBRSKEKnz7oX34WKkw_4_5"/>
      <w:bookmarkStart w:id="714" w:name="Tc_TX-nE4d7FESQ3cT52dn8Tw_4_2"/>
      <w:bookmarkStart w:id="715" w:name="Tc_zqk-Abbl7U2t57M0kONg7g_4_0"/>
      <w:bookmarkStart w:id="716" w:name="Tc_Y_cX1p9mekChjeuNlYEYuQ_3_11"/>
      <w:bookmarkStart w:id="717" w:name="Tc_QQZFujYoT0ilLHPdZCrAEA_3_8"/>
      <w:bookmarkStart w:id="718" w:name="Tc_2sU-VFTUUUKidsvz5Fd7hg_3_5"/>
      <w:bookmarkStart w:id="719" w:name="Tc_gPAzUPUwE0CehBaNuc2BQA_3_2"/>
      <w:bookmarkStart w:id="720" w:name="Tc_BCZi2JKdJ0qHpgxChmkXaQ_2_8"/>
      <w:bookmarkStart w:id="721" w:name="Tc_pMnsFJP3FUqaz_3Ictb6tQ_2_2"/>
      <w:bookmarkStart w:id="722" w:name="Tc_QFq8hU4IIkuip4IVo2RGTQ_1_8"/>
      <w:bookmarkStart w:id="723" w:name="Tc_XkfmUA2gQke8heaPauhM3Q_1_2"/>
      <w:bookmarkStart w:id="724" w:name="_2a1dfbef_1c35_4ed3_a079_99555b848fc4"/>
      <w:bookmarkStart w:id="725" w:name="Tc_Sd20Yd5aDESAFTq3shISNA_7_11"/>
      <w:bookmarkStart w:id="726" w:name="Tc_zPvimL9wQEy8ChDedTKiaw_7_8"/>
      <w:bookmarkStart w:id="727" w:name="Tc_4yQamFnfrEWVdArHjQiNgw_7_5"/>
      <w:bookmarkStart w:id="728" w:name="Tc_tbpXILKpg0aUupg_icLUaQ_7_2"/>
      <w:bookmarkStart w:id="729" w:name="Tc_bd9pgASnYUinnyJECGeqjA_7_0"/>
      <w:bookmarkStart w:id="730" w:name="Tc_sJymoFrE5kCx1NkwzQoSCA_6_0"/>
      <w:bookmarkStart w:id="731" w:name="Tc_WXHoS-JfZUO5KeZIiX8egg_5_0"/>
      <w:bookmarkStart w:id="732" w:name="Tc_9xnqcTaY8USz1YTR23L6qQ_4_11"/>
      <w:bookmarkStart w:id="733" w:name="Tc_AkMHNDMh00OwSkBHmmPcTg_4_8"/>
      <w:bookmarkStart w:id="734" w:name="Tc_U1lcZDiAMUKVcq4go6j6fA_4_5"/>
      <w:bookmarkStart w:id="735" w:name="Tc_BTyUS_XCtkCmZBU3GkQGyg_4_2"/>
      <w:bookmarkStart w:id="736" w:name="Tc_EZ6K7xhvFUG2a-wAiTsAjg_4_0"/>
      <w:bookmarkStart w:id="737" w:name="Tc_E-awk3jEvEec0bj9kndPfA_3_11"/>
      <w:bookmarkStart w:id="738" w:name="Tc_P1M6ggbye0CedRcTl4_55A_3_8"/>
      <w:bookmarkStart w:id="739" w:name="Tc_66qj_IOOWUif3EoVR2czZw_3_5"/>
      <w:bookmarkStart w:id="740" w:name="Tc_7x4muPO_2EOcZP7O3B428A_3_2"/>
      <w:bookmarkStart w:id="741" w:name="Tc_F622nvH25kqb9B70_lUwMA_2_8"/>
      <w:bookmarkStart w:id="742" w:name="Tc_aJgYwkStxEmy9xk0466PIg_2_2"/>
      <w:bookmarkStart w:id="743" w:name="Tc_9FaWpMlrxE2FhOvofxnFEQ_1_8"/>
      <w:bookmarkStart w:id="744" w:name="Tc_-pFSoYsV_E64BEBnftnlOg_1_2"/>
      <w:bookmarkStart w:id="745" w:name="_82df74c3_4ced_450a_801e_5f34cfc4d0b0"/>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Pr>
          <w:rFonts w:ascii="Times New Roman;Times;serif" w:hAnsi="Times New Roman;Times;serif"/>
          <w:b/>
          <w:sz w:val="20"/>
        </w:rPr>
        <w:t>(14) COMMITMENTS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Lessee operating lease commitments.</w:t>
      </w:r>
      <w:r>
        <w:rPr>
          <w:rFonts w:ascii="Times New Roman;Times;serif" w:hAnsi="Times New Roman;Times;serif"/>
          <w:sz w:val="20"/>
        </w:rPr>
        <w:t xml:space="preserve"> We lease property including corporate offices, vehicles and land. We determine if an arrangement is a lease at inception and evaluate identified leases for operating or finance lease treatment at lease commencement. Operating or finance lease right-of-use assets and liabilities are recognized at the commencement date based on the present value of lease payments over the lease term. Our leases have remaining lease terms of less than one year to 46 years, some of which have options to extend or terminate the lease. For purposes of calculating operating lease liabilities, lease terms may be deemed to include options to extend or terminate the lease when it is reasonably certain that we will exercise that option.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Operating right-of-use assets and operating lease liabilities are recognized based on the present value of the lease payments over the lease term at commencement date. The additions to right-of-use assets obtained from new operating lease liabilities are treated as non-cash transactions that do not impact the consolidated statements of cash flows. The Company uses its incremental borrowing rate based on the information available at the commencement date in determining the present value of lease payments. We determined our incremental borrowing rate using the borrowing rate of our debt agreements. The terms of our corporate offices, vehicles and land leases are in line with the Credit Agreement, our primary finance mechanism. We have certain land and vehicle lease agreements with lease and non-lease components, which are accounted for separately. Non-lease components include payments for taxes and other operating and maintenance expenses incurred by the lessor but payable by us in connection with the leasing arrangement. During the three and nine months ended September 30, 2025 and 2024, the Company was party to certain subleasing arrangements whereby the Company, as the primary obligor on the lease, has recognized sublease income for lease payments made by affiliates to the lessor.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Following are components of our lease costs (in thousands):</w:t>
      </w:r>
    </w:p>
    <w:tbl>
      <w:tblPr>
        <w:tblW w:w="9695" w:type="dxa"/>
        <w:jc w:val="left"/>
        <w:tblInd w:w="0" w:type="dxa"/>
        <w:tblLayout w:type="fixed"/>
        <w:tblCellMar>
          <w:top w:w="0" w:type="dxa"/>
          <w:left w:w="0" w:type="dxa"/>
          <w:bottom w:w="0" w:type="dxa"/>
          <w:right w:w="0" w:type="dxa"/>
        </w:tblCellMar>
      </w:tblPr>
      <w:tblGrid>
        <w:gridCol w:w="5146"/>
        <w:gridCol w:w="326"/>
        <w:gridCol w:w="211"/>
        <w:gridCol w:w="571"/>
        <w:gridCol w:w="326"/>
        <w:gridCol w:w="211"/>
        <w:gridCol w:w="571"/>
        <w:gridCol w:w="326"/>
        <w:gridCol w:w="211"/>
        <w:gridCol w:w="571"/>
        <w:gridCol w:w="326"/>
        <w:gridCol w:w="211"/>
        <w:gridCol w:w="688"/>
      </w:tblGrid>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81" name="Frame1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62585" cy="175260"/>
                      <wp:effectExtent l="0" t="0" r="0" b="0"/>
                      <wp:wrapNone/>
                      <wp:docPr id="184" name="Frame1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62585" cy="175260"/>
                      <wp:effectExtent l="0" t="0" r="0" b="0"/>
                      <wp:wrapNone/>
                      <wp:docPr id="187" name="Frame1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6880" cy="175260"/>
                      <wp:effectExtent l="0" t="0" r="0" b="0"/>
                      <wp:wrapNone/>
                      <wp:docPr id="190" name="Frame19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left"/>
              <w:rPr/>
            </w:pPr>
            <w:r>
              <w:rPr/>
              <w:t>    </w:t>
            </w:r>
          </w:p>
        </w:tc>
        <w:tc>
          <w:tcPr>
            <w:tcW w:w="200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0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costs (including insignificant short-term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 as primary obligor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4,819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information related to our operating leases was as follows (in thousands, except lease term and discount rate):</w:t>
      </w:r>
    </w:p>
    <w:tbl>
      <w:tblPr>
        <w:tblW w:w="8188" w:type="dxa"/>
        <w:jc w:val="left"/>
        <w:tblInd w:w="0" w:type="dxa"/>
        <w:tblLayout w:type="fixed"/>
        <w:tblCellMar>
          <w:top w:w="0" w:type="dxa"/>
          <w:left w:w="0" w:type="dxa"/>
          <w:bottom w:w="0" w:type="dxa"/>
          <w:right w:w="0" w:type="dxa"/>
        </w:tblCellMar>
      </w:tblPr>
      <w:tblGrid>
        <w:gridCol w:w="3901"/>
        <w:gridCol w:w="326"/>
        <w:gridCol w:w="211"/>
        <w:gridCol w:w="571"/>
        <w:gridCol w:w="326"/>
        <w:gridCol w:w="211"/>
        <w:gridCol w:w="571"/>
        <w:gridCol w:w="326"/>
        <w:gridCol w:w="211"/>
        <w:gridCol w:w="571"/>
        <w:gridCol w:w="109"/>
        <w:gridCol w:w="211"/>
        <w:gridCol w:w="643"/>
      </w:tblGrid>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62585" cy="175260"/>
                      <wp:effectExtent l="0" t="0" r="0" b="0"/>
                      <wp:wrapNone/>
                      <wp:docPr id="193" name="Frame1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62585" cy="175260"/>
                      <wp:effectExtent l="0" t="0" r="0" b="0"/>
                      <wp:wrapNone/>
                      <wp:docPr id="196" name="Frame1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62585" cy="175260"/>
                      <wp:effectExtent l="0" t="0" r="0" b="0"/>
                      <wp:wrapNone/>
                      <wp:docPr id="199" name="Frame1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08305" cy="175260"/>
                      <wp:effectExtent l="0" t="0" r="0" b="0"/>
                      <wp:wrapNone/>
                      <wp:docPr id="202" name="Frame202"/>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left"/>
              <w:rPr/>
            </w:pPr>
            <w:r>
              <w:rPr/>
              <w:t>​</w:t>
            </w:r>
          </w:p>
        </w:tc>
        <w:tc>
          <w:tcPr>
            <w:tcW w:w="17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17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outflows for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discount rate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lineRule="auto" w:line="343"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bookmarkStart w:id="746" w:name="Tc_TJ3MDmEUnUedueMiFJVQ_A_10_2"/>
      <w:bookmarkStart w:id="747" w:name="Tc_sigI9JqXsk-_VmMc6ktZTw_10_0"/>
      <w:bookmarkStart w:id="748" w:name="Tc_Nwxi43ymhkKdMuvKHFoMsw_9_0"/>
      <w:bookmarkStart w:id="749" w:name="Tc_zuXDm4pxAEyb_3y5m6htFQ_8_0"/>
      <w:bookmarkStart w:id="750" w:name="Tc_2-rwAA4NE0aMwYH52F9ecQ_7_0"/>
      <w:bookmarkStart w:id="751" w:name="Tc_zY6Noxr_OkWaDKgZPYTImw_6_0"/>
      <w:bookmarkStart w:id="752" w:name="Tc_ZX0eNT1BGU-3z8tH9krHfw_5_0"/>
      <w:bookmarkStart w:id="753" w:name="Tc_MAiocSekF0uvltodACck6w_4_0"/>
      <w:bookmarkStart w:id="754" w:name="Tc_MGGJNgPTuk6guAPd7wRPcA_3_0"/>
      <w:bookmarkStart w:id="755" w:name="Tc_uTMo2tq0G0SJWmg62Rmm3Q_2_2"/>
      <w:bookmarkStart w:id="756" w:name="Tc_0t6AjPoMbU67kxtmJSpAkg_2_0"/>
      <w:bookmarkStart w:id="757" w:name="Tc_1vuyy1AfQ0KDxT5g6Xtaaw_1_0"/>
      <w:bookmarkStart w:id="758" w:name="_5e76ebd5_b241_428b_98dc_f7739cdd4c7d"/>
      <w:bookmarkEnd w:id="746"/>
      <w:bookmarkEnd w:id="747"/>
      <w:bookmarkEnd w:id="748"/>
      <w:bookmarkEnd w:id="749"/>
      <w:bookmarkEnd w:id="750"/>
      <w:bookmarkEnd w:id="751"/>
      <w:bookmarkEnd w:id="752"/>
      <w:bookmarkEnd w:id="753"/>
      <w:bookmarkEnd w:id="754"/>
      <w:bookmarkEnd w:id="755"/>
      <w:bookmarkEnd w:id="756"/>
      <w:bookmarkEnd w:id="757"/>
      <w:bookmarkEnd w:id="758"/>
      <w:r>
        <w:rPr>
          <w:rFonts w:ascii="Times New Roman;Times;serif" w:hAnsi="Times New Roman;Times;serif"/>
          <w:sz w:val="20"/>
        </w:rPr>
        <w:t>Undiscounted cash flows owed by the Company to lessors pursuant to contractual agreements in effect as of September 30, 2025 and related imputed interest was as follows (in thousands):</w:t>
      </w:r>
    </w:p>
    <w:tbl>
      <w:tblPr>
        <w:tblW w:w="4672" w:type="dxa"/>
        <w:jc w:val="left"/>
        <w:tblInd w:w="0" w:type="dxa"/>
        <w:tblLayout w:type="fixed"/>
        <w:tblCellMar>
          <w:top w:w="0" w:type="dxa"/>
          <w:left w:w="0" w:type="dxa"/>
          <w:bottom w:w="0" w:type="dxa"/>
          <w:right w:w="0" w:type="dxa"/>
        </w:tblCellMar>
      </w:tblPr>
      <w:tblGrid>
        <w:gridCol w:w="3511"/>
        <w:gridCol w:w="109"/>
        <w:gridCol w:w="211"/>
        <w:gridCol w:w="84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29485" cy="175260"/>
                      <wp:effectExtent l="0" t="0" r="0" b="0"/>
                      <wp:wrapNone/>
                      <wp:docPr id="203" name="Frame203"/>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34035" cy="175260"/>
                      <wp:effectExtent l="0" t="0" r="0" b="0"/>
                      <wp:wrapNone/>
                      <wp:docPr id="206" name="Frame20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(remainder of the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67,346</w:t>
            </w:r>
          </w:p>
        </w:tc>
      </w:tr>
      <w:tr>
        <w:trPr/>
        <w:tc>
          <w:tcPr>
            <w:tcW w:w="35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lease payments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84,025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(35,698)</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48,327</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October 2025, we entered into an approximately two-year</w:t>
            </w:r>
            <w:r>
              <w:rPr>
                <w:caps w:val="false"/>
                <w:smallCaps w:val="false"/>
              </w:rPr>
              <w:t xml:space="preserve"> </w:t>
            </w:r>
            <w:r>
              <w:rPr>
                <w:rFonts w:ascii="Times New Roman;Times;serif" w:hAnsi="Times New Roman;Times;serif"/>
                <w:b w:val="false"/>
                <w:i w:val="false"/>
                <w:caps w:val="false"/>
                <w:smallCaps w:val="false"/>
                <w:sz w:val="20"/>
              </w:rPr>
              <w:t>land lease agreement with annual payments of approximately $12.6</w:t>
            </w:r>
            <w:r>
              <w:rPr>
                <w:caps w:val="false"/>
                <w:smallCaps w:val="false"/>
              </w:rPr>
              <w:t xml:space="preserve"> </w:t>
            </w:r>
            <w:r>
              <w:rPr>
                <w:rFonts w:ascii="Times New Roman;Times;serif" w:hAnsi="Times New Roman;Times;serif"/>
                <w:b w:val="false"/>
                <w:i w:val="false"/>
                <w:caps w:val="false"/>
                <w:smallCaps w:val="false"/>
                <w:sz w:val="20"/>
              </w:rPr>
              <w:t>million. The lease can be terminated</w:t>
            </w:r>
            <w:r>
              <w:rPr>
                <w:caps w:val="false"/>
                <w:smallCaps w:val="false"/>
              </w:rPr>
              <w:t xml:space="preserve"> </w:t>
            </w:r>
            <w:r>
              <w:rPr>
                <w:rFonts w:ascii="Times New Roman;Times;serif" w:hAnsi="Times New Roman;Times;serif"/>
                <w:b w:val="false"/>
                <w:i w:val="false"/>
                <w:caps w:val="false"/>
                <w:smallCaps w:val="false"/>
                <w:sz w:val="20"/>
              </w:rPr>
              <w:t>by either party upon no less than six months</w:t>
            </w:r>
            <w:r>
              <w:rPr>
                <w:caps w:val="false"/>
                <w:smallCaps w:val="false"/>
              </w:rPr>
              <w:t xml:space="preserve">’ </w:t>
            </w:r>
            <w:r>
              <w:rPr>
                <w:rFonts w:ascii="Times New Roman;Times;serif" w:hAnsi="Times New Roman;Times;serif"/>
                <w:b w:val="false"/>
                <w:i w:val="false"/>
                <w:caps w:val="false"/>
                <w:smallCaps w:val="false"/>
                <w:sz w:val="20"/>
              </w:rPr>
              <w:t>notice prior to the end of the lease term.</w:t>
            </w:r>
            <w:r>
              <w:rPr>
                <w:caps w:val="false"/>
                <w:smallCaps w:val="false"/>
              </w:rPr>
              <w:t xml:space="preserve"> </w:t>
            </w:r>
            <w:r>
              <w:rPr>
                <w:rFonts w:ascii="Times New Roman;Times;serif" w:hAnsi="Times New Roman;Times;serif"/>
                <w:b w:val="false"/>
                <w:i w:val="false"/>
                <w:caps w:val="false"/>
                <w:smallCaps w:val="false"/>
                <w:sz w:val="20"/>
              </w:rPr>
              <w:t>The lease will be accounted for as an operating lease under ASC 842.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Contractual commitments.</w:t>
      </w:r>
      <w:r>
        <w:rPr>
          <w:rFonts w:ascii="Times New Roman;Times;serif" w:hAnsi="Times New Roman;Times;serif"/>
          <w:sz w:val="20"/>
        </w:rPr>
        <w:t xml:space="preserve"> At September 30, 2025, we have contractual commitments of approximately $30.4 million for the supply of services, labor and materials related to capital projects that currently are under development. We expect that these contractual commitments will primarily be paid within a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Legal proceedings</w:t>
      </w:r>
      <w:r>
        <w:rPr>
          <w:rFonts w:ascii="Times New Roman;Times;serif" w:hAnsi="Times New Roman;Times;serif"/>
          <w:b/>
          <w:sz w:val="20"/>
        </w:rPr>
        <w:t>.</w:t>
      </w:r>
      <w:r>
        <w:rPr>
          <w:rFonts w:ascii="Times New Roman;Times;serif" w:hAnsi="Times New Roman;Times;serif"/>
          <w:sz w:val="20"/>
        </w:rPr>
        <w:t xml:space="preserve"> We are party to various legal, regulatory and other matters arising from the day-to-day operations of our business that may result in claims against us. While the ultimate impact of any proceedings cannot be predicted with certainty, our management believes that the resolution of any of our pending legal proceedings will not have a material adverse effect on our business, financial position, results of operations or cash flows.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DISCLOSURES ABOUT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GAAP defines fair value, establishes a framework for measuring fair value and expands disclosures about fair value measurements. GAAP also establishes a fair value hierarchy that prioritizes the use of higher-level inputs for valuation techniques used to measure fair value. The three levels of the fair value hierarchy are: (1) Level 1 inputs, which are quoted prices (unadjusted) in active markets for identical assets or liabilities; (2) Level 2 inputs, which are inputs other than quoted prices included within Level 1 that are observable for the asset or liability, either directly or indirectly; and (3) Level 3 inputs, which are unobservable inputs for the asset or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fair values of the following financial instruments represent our best estimate of the amounts that would be received to sell those assets or that would be paid to transfer those liabilities in an orderly transaction between market participants at that date. Our fair value measurements maximize the use of observable inputs. However, in situations where there is little, if any, market activity for the asset or liability at the measurement date, the fair value measurement reflects our judgments about the assumptions that market participants would use in pricing the asset or liability based on the best information available in the circumstances. There were no transfers into or out of Levels 1, 2, and 3 during the three and nine months ended September 30, 2025 and 2024. The following methods and assumptions were used to estimate the fair value of financial instruments at September 30, 2025 and December 31,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Cash equivalents.</w:t>
      </w:r>
      <w:r>
        <w:rPr>
          <w:rFonts w:ascii="Times New Roman;Times;serif" w:hAnsi="Times New Roman;Times;serif"/>
          <w:sz w:val="20"/>
        </w:rPr>
        <w:t xml:space="preserve"> The carrying amount approximates fair value because of the short-term maturity of these instruments. The fair value is categorized in Level 1 of the fair value hierarchy.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lineRule="atLeast" w:line="220" w:before="0" w:after="160"/>
        <w:ind w:left="0" w:right="0" w:firstLine="720"/>
        <w:jc w:val="left"/>
        <w:rPr>
          <w:rFonts w:ascii="Times New Roman;Times;serif" w:hAnsi="Times New Roman;Times;serif"/>
          <w:sz w:val="20"/>
        </w:rPr>
      </w:pPr>
      <w:bookmarkStart w:id="759" w:name="_Hlk181101331"/>
      <w:bookmarkEnd w:id="759"/>
      <w:r>
        <w:rPr>
          <w:rFonts w:ascii="Times New Roman;Times;serif" w:hAnsi="Times New Roman;Times;serif"/>
          <w:b/>
          <w:i/>
          <w:sz w:val="20"/>
        </w:rPr>
        <w:t>Derivative instruments.</w:t>
      </w:r>
      <w:r>
        <w:rPr>
          <w:rFonts w:ascii="Times New Roman;Times;serif" w:hAnsi="Times New Roman;Times;serif"/>
          <w:sz w:val="20"/>
        </w:rPr>
        <w:t xml:space="preserve"> The carrying amount of our interest rate swaps is equal to fair value and was determined using a pricing model based on the applicable swap rates and other observable market data. The fair value is categorized in Level 2 of the fair value hierarchy.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The estimated fair value of our $1,113.1 million senior secured term loans at September 30, 2025 was approximately $1,113.1 million based on observable market trades. The estimated fair value of our $500 million senior unsecured notes at September 30, 2025 was approximately $523.1 million based on observable market trades. The carrying amount of our revolving credit facility debt approximates fair value since borrowings under the facility bear interest at current market interest rates. The fair value of our debt is categorized in Level 2 of the fair value hierarchy.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Non-financial assets.</w:t>
      </w:r>
      <w:r>
        <w:rPr>
          <w:rFonts w:ascii="Times New Roman;Times;serif" w:hAnsi="Times New Roman;Times;serif"/>
          <w:sz w:val="20"/>
        </w:rPr>
        <w:t xml:space="preserve"> The Company’s non-financial assets, which primarily consist of property and equipment, right-of-use assets, goodwill and other intangible assets, are not required by GAAP to be carried at fair value on a recurring basis and are reported at carrying value. The fair values of these assets are determined, as required by GAAP, based on Level 3 measurements, including estimates of the amount and timing of future cash flows based upon historical experience, expected market conditions, and management’s plans.</w:t>
      </w:r>
    </w:p>
    <w:p>
      <w:pPr>
        <w:pStyle w:val="TextBody"/>
        <w:bidi w:val="0"/>
        <w:spacing w:before="0" w:after="240"/>
        <w:ind w:left="0" w:right="0" w:hanging="0"/>
        <w:jc w:val="left"/>
        <w:rPr>
          <w:rFonts w:ascii="Times New Roman;Times;serif" w:hAnsi="Times New Roman;Times;serif"/>
          <w:b/>
          <w:sz w:val="20"/>
        </w:rPr>
      </w:pPr>
      <w:bookmarkStart w:id="760" w:name="Tc_fmEB5XRC9Eq9zE6nNQ4GOA_16_11"/>
      <w:bookmarkStart w:id="761" w:name="Tc_ohmo8CIc7kWVKnem-jNqBg_16_8"/>
      <w:bookmarkStart w:id="762" w:name="Tc_rue5g8bVikqqeYX3fgkjlw_16_5"/>
      <w:bookmarkStart w:id="763" w:name="Tc_SgxCtzZP40S3-9khKfm7rQ_16_2"/>
      <w:bookmarkStart w:id="764" w:name="Tc_mRZ09gqXDEm8rKf1vvNUGg_16_0"/>
      <w:bookmarkStart w:id="765" w:name="Tc_hctyiD_zo0ueeAAMNMhAFQ_15_0"/>
      <w:bookmarkStart w:id="766" w:name="Tc_TNS6KTk2ZUKMPu9XSjKxxA_14_0"/>
      <w:bookmarkStart w:id="767" w:name="Tc_aMrHPhU9kkWha-QJXzjWtw_13_0"/>
      <w:bookmarkStart w:id="768" w:name="Tc_gGwNbGZPq0uF4fICqDA9NA_12_0"/>
      <w:bookmarkStart w:id="769" w:name="Tc_5gSnRlBHOEGQ78MkpXOI4Q_11_0"/>
      <w:bookmarkStart w:id="770" w:name="Tc_mhK0wlnFyE-FouTAnQROSQ_10_0"/>
      <w:bookmarkStart w:id="771" w:name="Tc_jRpuPCbuq0e1h-BmyaxkWQ_9_0"/>
      <w:bookmarkStart w:id="772" w:name="Tc_X5FWi6aWrECySjqaDlzyzA_8_0"/>
      <w:bookmarkStart w:id="773" w:name="Tc_PQ0Gi-2k9UKhBa3zLYPHwg_7_0"/>
      <w:bookmarkStart w:id="774" w:name="Tc_OvYLTMOErEGYuYiIdyiB-A_6_0"/>
      <w:bookmarkStart w:id="775" w:name="Tc_tM3ksnKKV0mfwFhAfEgTgA_5_11"/>
      <w:bookmarkStart w:id="776" w:name="Tc_qvplfdM0TUaKENcPciaD8Q_5_8"/>
      <w:bookmarkStart w:id="777" w:name="Tc_kjA7_wGSJkmV7PoNh9Kfgg_5_5"/>
      <w:bookmarkStart w:id="778" w:name="Tc_H336LuwiGkeFGPVOefwWYg_5_2"/>
      <w:bookmarkStart w:id="779" w:name="Tc_SsoQD7QUS0C6Gu-2TRGr6Q_5_0"/>
      <w:bookmarkStart w:id="780" w:name="Tc_ijK8471LIkCgSn_2fiKQpg_4_0"/>
      <w:bookmarkStart w:id="781" w:name="Tc_QYrxIp9dQEmCH8Xw3t0EiQ_3_11"/>
      <w:bookmarkStart w:id="782" w:name="Tc_lFYvHpi-nkWFhpxQ6ru4uw_3_8"/>
      <w:bookmarkStart w:id="783" w:name="Tc_YZB6Rhq5r02ImGOhozzS9w_3_5"/>
      <w:bookmarkStart w:id="784" w:name="Tc_md6s0YH-eUu3sdYq_tE9Ow_3_2"/>
      <w:bookmarkStart w:id="785" w:name="Tc_50wDi2VGQEilJOAWqI245g_2_8"/>
      <w:bookmarkStart w:id="786" w:name="Tc_sLKPHm7uh0mbr0RndvTcjA_2_2"/>
      <w:bookmarkStart w:id="787" w:name="Tc_c2Kw4nxV3UWvMNLskKPUyQ_1_8"/>
      <w:bookmarkStart w:id="788" w:name="Tc_az8PEpq4m0yV1DHlL0e4Ew_1_2"/>
      <w:bookmarkStart w:id="789" w:name="_5726d7bf_490b_438c_af3d_2b83e09cd23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rFonts w:ascii="Times New Roman;Times;serif" w:hAnsi="Times New Roman;Times;serif"/>
          <w:b/>
          <w:sz w:val="20"/>
        </w:rPr>
        <w:t>(16) REVENUE FROM CONTRACTS WITH CUSTOMERS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pacing w:val="-2"/>
          <w:sz w:val="20"/>
        </w:rPr>
        <w:t xml:space="preserve">The majority of our terminaling services agreements contain minimum payment arrangements, resulting in a fixed amount of revenue recognized, which we refer to as “firm commitments” and are accounted for in accordance with ASC 842, </w:t>
      </w:r>
      <w:r>
        <w:rPr>
          <w:rFonts w:ascii="Times New Roman;Times;serif" w:hAnsi="Times New Roman;Times;serif"/>
          <w:i/>
          <w:spacing w:val="-2"/>
          <w:sz w:val="20"/>
        </w:rPr>
        <w:t>Leases</w:t>
      </w:r>
      <w:r>
        <w:rPr>
          <w:rFonts w:ascii="Times New Roman;Times;serif" w:hAnsi="Times New Roman;Times;serif"/>
          <w:spacing w:val="-2"/>
          <w:sz w:val="20"/>
        </w:rPr>
        <w:t xml:space="preserve"> (“ASC 842 revenue”). The remainder is recognized in accordance with ASC 606, </w:t>
      </w:r>
      <w:r>
        <w:rPr>
          <w:rFonts w:ascii="Times New Roman;Times;serif" w:hAnsi="Times New Roman;Times;serif"/>
          <w:i/>
          <w:spacing w:val="-2"/>
          <w:sz w:val="20"/>
        </w:rPr>
        <w:t>Revenue from Contracts with Customers</w:t>
      </w:r>
      <w:r>
        <w:rPr>
          <w:rFonts w:ascii="Times New Roman;Times;serif" w:hAnsi="Times New Roman;Times;serif"/>
          <w:spacing w:val="-2"/>
          <w:sz w:val="20"/>
        </w:rPr>
        <w:t xml:space="preserve"> (“ASC 606 revenue”). </w:t>
      </w:r>
    </w:p>
    <w:p>
      <w:pPr>
        <w:pStyle w:val="TextBody"/>
        <w:bidi w:val="0"/>
        <w:spacing w:before="0" w:after="0"/>
        <w:ind w:left="0" w:right="0" w:firstLine="720"/>
        <w:jc w:val="left"/>
        <w:rPr>
          <w:spacing w:val="-2"/>
        </w:rPr>
      </w:pPr>
      <w:r>
        <w:rPr>
          <w:spacing w:val="-2"/>
        </w:rPr>
        <w:t>​</w:t>
      </w:r>
    </w:p>
    <w:p>
      <w:pPr>
        <w:pStyle w:val="TextBody"/>
        <w:bidi w:val="0"/>
        <w:spacing w:lineRule="auto" w:line="328"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provides details of our revenue disaggregated by category of revenue (in thousands): </w:t>
      </w:r>
    </w:p>
    <w:tbl>
      <w:tblPr>
        <w:tblW w:w="8615" w:type="dxa"/>
        <w:jc w:val="left"/>
        <w:tblInd w:w="0" w:type="dxa"/>
        <w:tblLayout w:type="fixed"/>
        <w:tblCellMar>
          <w:top w:w="0" w:type="dxa"/>
          <w:left w:w="0" w:type="dxa"/>
          <w:bottom w:w="0" w:type="dxa"/>
          <w:right w:w="0" w:type="dxa"/>
        </w:tblCellMar>
      </w:tblPr>
      <w:tblGrid>
        <w:gridCol w:w="3226"/>
        <w:gridCol w:w="326"/>
        <w:gridCol w:w="211"/>
        <w:gridCol w:w="781"/>
        <w:gridCol w:w="326"/>
        <w:gridCol w:w="211"/>
        <w:gridCol w:w="781"/>
        <w:gridCol w:w="326"/>
        <w:gridCol w:w="211"/>
        <w:gridCol w:w="781"/>
        <w:gridCol w:w="326"/>
        <w:gridCol w:w="211"/>
        <w:gridCol w:w="898"/>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48510" cy="175260"/>
                      <wp:effectExtent l="0" t="0" r="0" b="0"/>
                      <wp:wrapNone/>
                      <wp:docPr id="207" name="Frame207"/>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95935" cy="175260"/>
                      <wp:effectExtent l="0" t="0" r="0" b="0"/>
                      <wp:wrapNone/>
                      <wp:docPr id="210" name="Frame2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95935" cy="175260"/>
                      <wp:effectExtent l="0" t="0" r="0" b="0"/>
                      <wp:wrapNone/>
                      <wp:docPr id="213" name="Frame2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95935" cy="175260"/>
                      <wp:effectExtent l="0" t="0" r="0" b="0"/>
                      <wp:wrapNone/>
                      <wp:docPr id="216" name="Frame2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70230" cy="175260"/>
                      <wp:effectExtent l="0" t="0" r="0" b="0"/>
                      <wp:wrapNone/>
                      <wp:docPr id="219" name="Frame21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left"/>
              <w:rPr/>
            </w:pPr>
            <w:r>
              <w:rPr/>
              <w:t>​</w:t>
            </w:r>
          </w:p>
        </w:tc>
        <w:tc>
          <w:tcPr>
            <w:tcW w:w="24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4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Terminaling services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Firm commitments (ASC 842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47,210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147,278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143,661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Firm commitments (ASC 606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firm commitments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179,574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179,377</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Ancillary revenue (ASC 606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49,481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49,897</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Ancillary revenue (ASC 842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ancillary revenue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51,298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51,584</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terminaling services fees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77,506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230,872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230,961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 (ASC 606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10,327</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 (ASC 842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management fees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11,439</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(ASC 606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83,852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257,131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290,568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496,111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532,968</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bookmarkStart w:id="790" w:name="Tc_poAGMfDNO0moHUPrlXPEEQ_4_8"/>
      <w:bookmarkStart w:id="791" w:name="Tc_0AylDaogI0y7aKQ1YzbGEA_4_5"/>
      <w:bookmarkStart w:id="792" w:name="Tc_6swfFb5MQ0SgE5FYbl-QeA_4_2"/>
      <w:bookmarkStart w:id="793" w:name="Tc_qPtVhywbpk-wUDmaV80Ugw_4_0"/>
      <w:bookmarkStart w:id="794" w:name="Tc_cgmZoyiFrUiJtz1TamH95w_3_8"/>
      <w:bookmarkStart w:id="795" w:name="Tc_wWEnobIWSUazvCVeLf5CPQ_3_5"/>
      <w:bookmarkStart w:id="796" w:name="Tc_74Wtmvo7406WTX8mHa55Og_3_2"/>
      <w:bookmarkStart w:id="797" w:name="Tc_I2omJt5ahECLmlrgd--q5Q_3_0"/>
      <w:bookmarkStart w:id="798" w:name="Tc_XKuX4doq602_bEHxwxV-mA_2_9"/>
      <w:bookmarkStart w:id="799" w:name="Tc_QcQyyhCSd0aoS28pcOpQ0A_2_5"/>
      <w:bookmarkStart w:id="800" w:name="Tc_w1IEYURotUaLhpxIyz3mmg_2_2"/>
      <w:bookmarkStart w:id="801" w:name="Tc_Qbbf-TzxXEyR1unj-OEvRA_1_2"/>
      <w:bookmarkStart w:id="802" w:name="_c053b4a2_97d0_47ec_92f7_49e02a9f9703"/>
      <w:bookmarkStart w:id="803" w:name="Tc_wnQG6dtdp0-SVL6vT3mKCg_8_2"/>
      <w:bookmarkStart w:id="804" w:name="Tc_ZYAl3DfNM0K_QSl-hn0a_g_8_0"/>
      <w:bookmarkStart w:id="805" w:name="Tc_wnwuUPrjS0CjmPEFLcCL4g_7_0"/>
      <w:bookmarkStart w:id="806" w:name="Tc_S0VWoR_or0GeFMPLdw5R5Q_6_0"/>
      <w:bookmarkStart w:id="807" w:name="Tc_DwOSF9h4uk6L1_QXvJGedQ_5_0"/>
      <w:bookmarkStart w:id="808" w:name="Tc_jBNdDalt6U2H927WFzgXVQ_4_0"/>
      <w:bookmarkStart w:id="809" w:name="Tc_88KH8AzlcEm3VCZ6j4i9IA_3_0"/>
      <w:bookmarkStart w:id="810" w:name="Tc_GslifLcDtkCNQtP6oWBNxg_2_2"/>
      <w:bookmarkStart w:id="811" w:name="Tc_31bHmg8X0UOVWIQLCuzZTw_2_0"/>
      <w:bookmarkStart w:id="812" w:name="Tc_DMlExhOA3Eeg_dmPgNp4Gg_1_0"/>
      <w:bookmarkStart w:id="813" w:name="_4ae8a364_b62e_4913_b08a_aeb1c15939fb"/>
      <w:bookmarkStart w:id="814" w:name="Tc_Nbgh_QnoQ0auENNV94ArdQ_9_23"/>
      <w:bookmarkStart w:id="815" w:name="Tc_OwTSBN2qCUOpL3W1dyA4Yw_9_21"/>
      <w:bookmarkStart w:id="816" w:name="Tc_IcJ9mqXmzEGBJgWoc-7hTw_9_20"/>
      <w:bookmarkStart w:id="817" w:name="Tc_AUMEE9Xyy0mLgxCG9RBOBg_9_17"/>
      <w:bookmarkStart w:id="818" w:name="Tc_14WqYEGM70OFM8F_XEW84Q_9_14"/>
      <w:bookmarkStart w:id="819" w:name="Tc_iFcA9JsxCkq4JpOVZv7o3Q_9_12"/>
      <w:bookmarkStart w:id="820" w:name="Tc_6_Xzz7saPUaIQvDgDdj6Sg_9_11"/>
      <w:bookmarkStart w:id="821" w:name="Tc_xP9iOAFUI0-Bla_qgZ6-pg_9_8"/>
      <w:bookmarkStart w:id="822" w:name="Tc_TgEjjk5l1EStGDzS_-HqWw_9_5"/>
      <w:bookmarkStart w:id="823" w:name="Tc_ndHCbBFtLU-446DMIYCzLg_9_2"/>
      <w:bookmarkStart w:id="824" w:name="Tc_70F_XQU1XUac31-SVUUldg_9_0"/>
      <w:bookmarkStart w:id="825" w:name="Tc_wJTQF088y02AwEPHCinOUw_8_24"/>
      <w:bookmarkStart w:id="826" w:name="Tc_KuqTUOeX0Ee-degqoXOFEQ_8_21"/>
      <w:bookmarkStart w:id="827" w:name="Tc_5a1ZNe3oCkWPGDfLWllUrg_8_18"/>
      <w:bookmarkStart w:id="828" w:name="Tc_nnb3t2jifU6J2nflSoUSAA_8_15"/>
      <w:bookmarkStart w:id="829" w:name="Tc_ofpzZKPuZk6neLf2s6N8tQ_8_12"/>
      <w:bookmarkStart w:id="830" w:name="Tc_2ORxtoZ3cU25VsusOJk1ZQ_8_9"/>
      <w:bookmarkStart w:id="831" w:name="Tc_4u89lo45XU6ewWUY2ZXHcw_8_6"/>
      <w:bookmarkStart w:id="832" w:name="Tc_pIkripcEWUemtBMzDveWYg_8_3"/>
      <w:bookmarkStart w:id="833" w:name="Tc_fDJVPLTzzE6raZ_D78le5w_7_24"/>
      <w:bookmarkStart w:id="834" w:name="Tc_rdEvnYQQcE6dfw5glS_wDg_7_21"/>
      <w:bookmarkStart w:id="835" w:name="Tc_Wb49g1jkXkSo_CFnjTpNGQ_7_18"/>
      <w:bookmarkStart w:id="836" w:name="Tc_8SBkcsfURkOr0HD-WtQaew_7_15"/>
      <w:bookmarkStart w:id="837" w:name="Tc_CM_H6vE8F062R04yJPBsWA_7_12"/>
      <w:bookmarkStart w:id="838" w:name="Tc_n-wh86o1ZEC1eYXtGDiLjQ_7_9"/>
      <w:bookmarkStart w:id="839" w:name="Tc_LyyjoAraW02n9yWT7m5wUQ_7_6"/>
      <w:bookmarkStart w:id="840" w:name="Tc_sh769tCez0alJ8WLW8lZMQ_7_3"/>
      <w:bookmarkStart w:id="841" w:name="Tc_CXTdoAGS00e89AVFx0ZLjg_6_21"/>
      <w:bookmarkStart w:id="842" w:name="Tc_G9SVcAXUfESUMMWISq-FMw_6_15"/>
      <w:bookmarkStart w:id="843" w:name="Tc__h2QiXPwRE2UirXB8r4o8g_6_12"/>
      <w:bookmarkStart w:id="844" w:name="Tc_HMchFniML0SY6ipoMz1rmw_6_9"/>
      <w:bookmarkStart w:id="845" w:name="Tc_gd0pw0ZeWkukP8qVfJLuSg_6_6"/>
      <w:bookmarkStart w:id="846" w:name="Tc_SpGjS0RhlkKgXtqSifVMHQ_6_3"/>
      <w:bookmarkStart w:id="847" w:name="Tc_I4D10M39Kkq6G5m5nY8-Uw_5_21"/>
      <w:bookmarkStart w:id="848" w:name="Tc_f_PjkSpZTkCeJpbhP4CrpA_5_12"/>
      <w:bookmarkStart w:id="849" w:name="Tc_yJ-A_dshE0ebprg6gip-Iw_5_9"/>
      <w:bookmarkStart w:id="850" w:name="Tc_6iHNXdZMz0mBCFvA8L0cLQ_5_6"/>
      <w:bookmarkStart w:id="851" w:name="Tc_KNDQJOvAak6u1u--13L9kA_4_21"/>
      <w:bookmarkStart w:id="852" w:name="Tc_sM2FJ-OiGkKSfiJ0crXbYQ_4_12"/>
      <w:bookmarkStart w:id="853" w:name="Tc_809X3O5zUEqKNs-8O2IEmQ_3_23"/>
      <w:bookmarkStart w:id="854" w:name="Tc_StVV_xfsekG3jrgVoR3cSg_3_21"/>
      <w:bookmarkStart w:id="855" w:name="Tc_kjhPSLyYE0KZUmE1V84lkQ_3_20"/>
      <w:bookmarkStart w:id="856" w:name="Tc_EP2dJ_p_9kuV-pzbTpZdqw_3_17"/>
      <w:bookmarkStart w:id="857" w:name="Tc_6WgqPboPYUKC5maZRqR2mA_3_14"/>
      <w:bookmarkStart w:id="858" w:name="Tc_xogwc2A0U0OmNQlLcuTWGw_3_12"/>
      <w:bookmarkStart w:id="859" w:name="Tc_DzJnRpVP6kS3_kGdl9kmUw_3_11"/>
      <w:bookmarkStart w:id="860" w:name="Tc_cBVecDr-Gk6R6ToW8eli2A_3_8"/>
      <w:bookmarkStart w:id="861" w:name="Tc_RvYCYRBX_UC61iZy94s63w_3_5"/>
      <w:bookmarkStart w:id="862" w:name="Tc_6rbo0WwmQEK-m1CgoFtXQg_3_2"/>
      <w:bookmarkStart w:id="863" w:name="Tc_LMBkaf7Cmkm-tvwxgqDwyQ_2_23"/>
      <w:bookmarkStart w:id="864" w:name="Tc_sO8AOU9yvkG_OPqC4u3SrQ_2_20"/>
      <w:bookmarkStart w:id="865" w:name="Tc_roFecGhqLEiGJ5SZidzRnA_2_17"/>
      <w:bookmarkStart w:id="866" w:name="Tc_Y4A-z4O3qk2CnamYomy-Qg_2_14"/>
      <w:bookmarkStart w:id="867" w:name="Tc__AArdtaaZkGSzs9gzLcTRQ_2_11"/>
      <w:bookmarkStart w:id="868" w:name="Tc_MOeAv71w9EmPJ1nZaEUJpA_2_8"/>
      <w:bookmarkStart w:id="869" w:name="Tc_AQdiEmX6DEa4oFu-DwG1zQ_2_5"/>
      <w:bookmarkStart w:id="870" w:name="Tc_juItp_1OXkyhBXeNC5iE3g_2_2"/>
      <w:bookmarkStart w:id="871" w:name="Tc_nGbaLLrVPE6FoGg-YYTmYA_2_0"/>
      <w:bookmarkStart w:id="872" w:name="Tc_Y354pmwvFEq6D-OZ4oktiQ_1_20"/>
      <w:bookmarkStart w:id="873" w:name="Tc_b8OKoT0ZiEiJ6WRFtQjWug_1_17"/>
      <w:bookmarkStart w:id="874" w:name="Tc_Xt6LRTWnIUSBTcWmgfDsTA_1_14"/>
      <w:bookmarkStart w:id="875" w:name="Tc_xq-upTTKkEuv7JwFizPISw_1_11"/>
      <w:bookmarkStart w:id="876" w:name="Tc_o2QoJKbeo0-ImnLIBRCuDA_1_8"/>
      <w:bookmarkStart w:id="877" w:name="Tc_11uGXIUR2U2t90x5eeqVXg_1_5"/>
      <w:bookmarkStart w:id="878" w:name="Tc_rr5dulF_hUWrxeM_vke78Q_1_2"/>
      <w:bookmarkStart w:id="879" w:name="_0e70ff00_332f_4226_8c83_6476d0993516"/>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Times New Roman;Times;serif" w:hAnsi="Times New Roman;Times;serif"/>
          <w:sz w:val="20"/>
        </w:rPr>
        <w:t>The following table includes our estimated future revenue associated with our firm commitments under terminaling services fees which is expected to be recognized as ASC 606 revenue in the specified period related to our future performance obligations as of the end of the reporting period (in thousands):</w:t>
      </w:r>
    </w:p>
    <w:p>
      <w:pPr>
        <w:pStyle w:val="TextBody"/>
        <w:bidi w:val="0"/>
        <w:spacing w:before="0" w:after="240"/>
        <w:ind w:left="0" w:right="0" w:firstLine="720"/>
        <w:jc w:val="center"/>
        <w:rPr>
          <w:rFonts w:ascii="Times New Roman;Times;serif" w:hAnsi="Times New Roman;Times;serif"/>
          <w:sz w:val="18"/>
        </w:rPr>
      </w:pPr>
      <w:r>
        <w:rPr>
          <w:rFonts w:ascii="Times New Roman;Times;serif" w:hAnsi="Times New Roman;Times;serif"/>
          <w:b/>
          <w:sz w:val="20"/>
        </w:rPr>
        <w:t>Estimated</w:t>
      </w:r>
      <w:r>
        <w:rPr>
          <w:rFonts w:ascii="Times New Roman;Times;serif" w:hAnsi="Times New Roman;Times;serif"/>
          <w:sz w:val="18"/>
        </w:rPr>
        <w:t xml:space="preserve"> </w:t>
      </w:r>
      <w:r>
        <w:rPr>
          <w:rFonts w:ascii="Times New Roman;Times;serif" w:hAnsi="Times New Roman;Times;serif"/>
          <w:b/>
          <w:sz w:val="18"/>
        </w:rPr>
        <w:t>Future ASC 606 Revenue by Segment</w:t>
      </w:r>
    </w:p>
    <w:tbl>
      <w:tblPr>
        <w:tblW w:w="11396" w:type="dxa"/>
        <w:jc w:val="left"/>
        <w:tblInd w:w="0" w:type="dxa"/>
        <w:tblLayout w:type="fixed"/>
        <w:tblCellMar>
          <w:top w:w="0" w:type="dxa"/>
          <w:left w:w="0" w:type="dxa"/>
          <w:bottom w:w="0" w:type="dxa"/>
          <w:right w:w="0" w:type="dxa"/>
        </w:tblCellMar>
      </w:tblPr>
      <w:tblGrid>
        <w:gridCol w:w="2056"/>
        <w:gridCol w:w="326"/>
        <w:gridCol w:w="249"/>
        <w:gridCol w:w="652"/>
        <w:gridCol w:w="326"/>
        <w:gridCol w:w="281"/>
        <w:gridCol w:w="545"/>
        <w:gridCol w:w="326"/>
        <w:gridCol w:w="262"/>
        <w:gridCol w:w="684"/>
        <w:gridCol w:w="326"/>
        <w:gridCol w:w="298"/>
        <w:gridCol w:w="528"/>
        <w:gridCol w:w="326"/>
        <w:gridCol w:w="202"/>
        <w:gridCol w:w="624"/>
        <w:gridCol w:w="326"/>
        <w:gridCol w:w="225"/>
        <w:gridCol w:w="601"/>
        <w:gridCol w:w="326"/>
        <w:gridCol w:w="249"/>
        <w:gridCol w:w="442"/>
        <w:gridCol w:w="326"/>
        <w:gridCol w:w="196"/>
        <w:gridCol w:w="694"/>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05560" cy="175260"/>
                      <wp:effectExtent l="0" t="0" r="0" b="0"/>
                      <wp:wrapNone/>
                      <wp:docPr id="220" name="Frame220"/>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58115" cy="175260"/>
                      <wp:effectExtent l="0" t="0" r="0" b="0"/>
                      <wp:wrapNone/>
                      <wp:docPr id="222" name="Frame22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14020" cy="175260"/>
                      <wp:effectExtent l="0" t="0" r="0" b="0"/>
                      <wp:wrapNone/>
                      <wp:docPr id="223" name="Frame223"/>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78435" cy="175260"/>
                      <wp:effectExtent l="0" t="0" r="0" b="0"/>
                      <wp:wrapNone/>
                      <wp:docPr id="225" name="Frame22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46075" cy="175260"/>
                      <wp:effectExtent l="0" t="0" r="0" b="0"/>
                      <wp:wrapNone/>
                      <wp:docPr id="226" name="Frame226"/>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6370" cy="175260"/>
                      <wp:effectExtent l="0" t="0" r="0" b="0"/>
                      <wp:wrapNone/>
                      <wp:docPr id="228" name="Frame228"/>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34340" cy="175260"/>
                      <wp:effectExtent l="0" t="0" r="0" b="0"/>
                      <wp:wrapNone/>
                      <wp:docPr id="229" name="Frame229"/>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89230" cy="175260"/>
                      <wp:effectExtent l="0" t="0" r="0" b="0"/>
                      <wp:wrapNone/>
                      <wp:docPr id="231" name="Frame231"/>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35280" cy="175260"/>
                      <wp:effectExtent l="0" t="0" r="0" b="0"/>
                      <wp:wrapNone/>
                      <wp:docPr id="232" name="Frame232"/>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28270" cy="175260"/>
                      <wp:effectExtent l="0" t="0" r="0" b="0"/>
                      <wp:wrapNone/>
                      <wp:docPr id="234" name="Frame234"/>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96240" cy="175260"/>
                      <wp:effectExtent l="0" t="0" r="0" b="0"/>
                      <wp:wrapNone/>
                      <wp:docPr id="235" name="Frame235"/>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2875" cy="175260"/>
                      <wp:effectExtent l="0" t="0" r="0" b="0"/>
                      <wp:wrapNone/>
                      <wp:docPr id="237" name="Frame23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81635" cy="175260"/>
                      <wp:effectExtent l="0" t="0" r="0" b="0"/>
                      <wp:wrapNone/>
                      <wp:docPr id="238" name="Frame23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58115" cy="175260"/>
                      <wp:effectExtent l="0" t="0" r="0" b="0"/>
                      <wp:wrapNone/>
                      <wp:docPr id="240" name="Frame24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80670" cy="175260"/>
                      <wp:effectExtent l="0" t="0" r="0" b="0"/>
                      <wp:wrapNone/>
                      <wp:docPr id="241" name="Frame24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4460" cy="175260"/>
                      <wp:effectExtent l="0" t="0" r="0" b="0"/>
                      <wp:wrapNone/>
                      <wp:docPr id="243" name="Frame2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40690" cy="175260"/>
                      <wp:effectExtent l="0" t="0" r="0" b="0"/>
                      <wp:wrapNone/>
                      <wp:docPr id="244" name="Frame244"/>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Gulf Coast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Midwest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Brownsville</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River</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Southeast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West Coast</w:t>
            </w:r>
          </w:p>
        </w:tc>
        <w:tc>
          <w:tcPr>
            <w:tcW w:w="326" w:type="dxa"/>
            <w:tcBorders/>
            <w:vAlign w:val="center"/>
          </w:tcPr>
          <w:p>
            <w:pPr>
              <w:pStyle w:val="TableContents"/>
              <w:bidi w:val="0"/>
              <w:spacing w:before="0" w:after="0"/>
              <w:ind w:left="0" w:right="0" w:hanging="0"/>
              <w:jc w:val="left"/>
              <w:rPr/>
            </w:pPr>
            <w:r>
              <w:rPr/>
              <w:t>​</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Central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r>
      <w:tr>
        <w:trPr/>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26" w:type="dxa"/>
            <w:tcBorders/>
            <w:vAlign w:val="center"/>
          </w:tcPr>
          <w:p>
            <w:pPr>
              <w:pStyle w:val="TableContents"/>
              <w:bidi w:val="0"/>
              <w:spacing w:before="0" w:after="0"/>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 (remainder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326" w:type="dxa"/>
            <w:tcBorders/>
            <w:shd w:fill="CCEEFF" w:val="clear"/>
            <w:vAlign w:val="center"/>
          </w:tcPr>
          <w:p>
            <w:pPr>
              <w:pStyle w:val="TableContents"/>
              <w:bidi w:val="0"/>
              <w:spacing w:before="0" w:after="0"/>
              <w:ind w:left="0" w:right="0" w:hanging="0"/>
              <w:jc w:val="righ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1,174</w:t>
            </w:r>
          </w:p>
        </w:tc>
        <w:tc>
          <w:tcPr>
            <w:tcW w:w="326"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2,642</w:t>
            </w:r>
          </w:p>
        </w:tc>
        <w:tc>
          <w:tcPr>
            <w:tcW w:w="32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6,166</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11,218</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2026</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2,914</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right"/>
              <w:rPr/>
            </w:pPr>
            <w:r>
              <w:rPr/>
              <w:t>​</w:t>
            </w:r>
          </w:p>
        </w:tc>
        <w:tc>
          <w:tcPr>
            <w:tcW w:w="5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w:t>
            </w:r>
          </w:p>
        </w:tc>
        <w:tc>
          <w:tcPr>
            <w:tcW w:w="326" w:type="dxa"/>
            <w:tcBorders/>
            <w:vAlign w:val="center"/>
          </w:tcPr>
          <w:p>
            <w:pPr>
              <w:pStyle w:val="TableContents"/>
              <w:bidi w:val="0"/>
              <w:spacing w:before="0" w:after="0"/>
              <w:ind w:left="0" w:right="0" w:hanging="0"/>
              <w:jc w:val="right"/>
              <w:rPr/>
            </w:pPr>
            <w:r>
              <w:rPr/>
              <w:t>​</w:t>
            </w:r>
          </w:p>
        </w:tc>
        <w:tc>
          <w:tcPr>
            <w:tcW w:w="262" w:type="dxa"/>
            <w:tcBorders/>
            <w:vAlign w:val="center"/>
          </w:tcPr>
          <w:p>
            <w:pPr>
              <w:pStyle w:val="TableContents"/>
              <w:bidi w:val="0"/>
              <w:spacing w:before="0" w:after="0"/>
              <w:ind w:left="0" w:right="0" w:hanging="0"/>
              <w:jc w:val="righ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925</w:t>
            </w:r>
          </w:p>
        </w:tc>
        <w:tc>
          <w:tcPr>
            <w:tcW w:w="32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5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9,792</w:t>
            </w:r>
          </w:p>
        </w:tc>
        <w:tc>
          <w:tcPr>
            <w:tcW w:w="326" w:type="dxa"/>
            <w:tcBorders/>
            <w:vAlign w:val="center"/>
          </w:tcPr>
          <w:p>
            <w:pPr>
              <w:pStyle w:val="TableContents"/>
              <w:bidi w:val="0"/>
              <w:spacing w:before="0" w:after="0"/>
              <w:ind w:left="0" w:right="0" w:hanging="0"/>
              <w:jc w:val="right"/>
              <w:rPr/>
            </w:pPr>
            <w:r>
              <w:rPr/>
              <w:t>​</w:t>
            </w:r>
          </w:p>
        </w:tc>
        <w:tc>
          <w:tcPr>
            <w:tcW w:w="225"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21,599</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35,395</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1,616</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5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2" w:type="dxa"/>
            <w:tcBorders/>
            <w:shd w:fill="CCEEFF" w:val="clear"/>
            <w:vAlign w:val="center"/>
          </w:tcPr>
          <w:p>
            <w:pPr>
              <w:pStyle w:val="TableContents"/>
              <w:bidi w:val="0"/>
              <w:spacing w:before="0" w:after="0"/>
              <w:ind w:left="0" w:right="0" w:hanging="0"/>
              <w:jc w:val="righ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5,864</w:t>
            </w:r>
          </w:p>
        </w:tc>
        <w:tc>
          <w:tcPr>
            <w:tcW w:w="32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4,064</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11,544</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2028</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right"/>
              <w:rPr/>
            </w:pPr>
            <w:r>
              <w:rPr/>
              <w:t>​</w:t>
            </w:r>
          </w:p>
        </w:tc>
        <w:tc>
          <w:tcPr>
            <w:tcW w:w="5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2" w:type="dxa"/>
            <w:tcBorders/>
            <w:vAlign w:val="center"/>
          </w:tcPr>
          <w:p>
            <w:pPr>
              <w:pStyle w:val="TableContents"/>
              <w:bidi w:val="0"/>
              <w:spacing w:before="0" w:after="0"/>
              <w:ind w:left="0" w:right="0" w:hanging="0"/>
              <w:jc w:val="right"/>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5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5"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5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2" w:type="dxa"/>
            <w:tcBorders/>
            <w:shd w:fill="CCEEFF" w:val="clear"/>
            <w:vAlign w:val="center"/>
          </w:tcPr>
          <w:p>
            <w:pPr>
              <w:pStyle w:val="TableContents"/>
              <w:bidi w:val="0"/>
              <w:spacing w:before="0" w:after="0"/>
              <w:ind w:left="0" w:right="0" w:hanging="0"/>
              <w:jc w:val="righ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4"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Thereafter</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estimated future ASC 606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5,554</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w:t>
            </w:r>
          </w:p>
        </w:tc>
        <w:tc>
          <w:tcPr>
            <w:tcW w:w="326" w:type="dxa"/>
            <w:tcBorders/>
            <w:shd w:fill="CCEEFF" w:val="clear"/>
            <w:vAlign w:val="center"/>
          </w:tcPr>
          <w:p>
            <w:pPr>
              <w:pStyle w:val="TableContents"/>
              <w:bidi w:val="0"/>
              <w:spacing w:before="0" w:after="0"/>
              <w:ind w:left="0" w:right="0" w:hanging="0"/>
              <w:jc w:val="righ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2,099</w:t>
            </w:r>
          </w:p>
        </w:tc>
        <w:tc>
          <w:tcPr>
            <w:tcW w:w="326" w:type="dxa"/>
            <w:tcBorders/>
            <w:shd w:fill="CCEEFF" w:val="clear"/>
            <w:vAlign w:val="center"/>
          </w:tcPr>
          <w:p>
            <w:pPr>
              <w:pStyle w:val="TableContents"/>
              <w:bidi w:val="0"/>
              <w:spacing w:before="0" w:after="0"/>
              <w:ind w:left="0" w:right="0" w:hanging="0"/>
              <w:jc w:val="righ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18,298</w:t>
            </w:r>
          </w:p>
        </w:tc>
        <w:tc>
          <w:tcPr>
            <w:tcW w:w="326" w:type="dxa"/>
            <w:tcBorders/>
            <w:shd w:fill="CCEEFF" w:val="clear"/>
            <w:vAlign w:val="center"/>
          </w:tcPr>
          <w:p>
            <w:pPr>
              <w:pStyle w:val="TableContents"/>
              <w:bidi w:val="0"/>
              <w:spacing w:before="0" w:after="0"/>
              <w:ind w:left="0" w:right="0" w:hanging="0"/>
              <w:jc w:val="righ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32,028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58,356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estimated future ASC 606 revenue, for purposes of the tabular presentation above, excludes estimates of future rate changes due to changes in indices or contractually negotiated rate escalations and is generally limited to contracts that have minimum payment arrangements. The balances disclosed include the full amount of our customer commitments accounted for as ASC 606 revenue as of September 30, 2025 through the expiration of the related contracts. The balances disclosed exclude all performance obligations for which the original expected term is one year or less, the term of the contract with the customer is open and cannot be estimated, the contract includes options for future purchases or the consideration is variable.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Estimated future ASC 606 revenue in the table above excludes revenue arrangements accounted for in accordance with ASC 842. The following table includes our estimated future revenue associated with our firm commitments under terminaling services fees and management fees which are expected to be recognized as ASC 842 revenue in the specified period (in thousands):</w:t>
      </w:r>
    </w:p>
    <w:p>
      <w:pPr>
        <w:pStyle w:val="TextBody"/>
        <w:bidi w:val="0"/>
        <w:spacing w:before="0" w:after="0"/>
        <w:ind w:left="0" w:right="0" w:hanging="0"/>
        <w:jc w:val="left"/>
        <w:rPr/>
      </w:pPr>
      <w:r>
        <w:rPr/>
        <w:t>​</w:t>
      </w:r>
    </w:p>
    <w:tbl>
      <w:tblPr>
        <w:tblW w:w="4594" w:type="dxa"/>
        <w:jc w:val="left"/>
        <w:tblInd w:w="0" w:type="dxa"/>
        <w:tblLayout w:type="fixed"/>
        <w:tblCellMar>
          <w:top w:w="0" w:type="dxa"/>
          <w:left w:w="0" w:type="dxa"/>
          <w:bottom w:w="0" w:type="dxa"/>
          <w:right w:w="0" w:type="dxa"/>
        </w:tblCellMar>
      </w:tblPr>
      <w:tblGrid>
        <w:gridCol w:w="3376"/>
        <w:gridCol w:w="109"/>
        <w:gridCol w:w="211"/>
        <w:gridCol w:w="898"/>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43760" cy="175260"/>
                      <wp:effectExtent l="0" t="0" r="0" b="0"/>
                      <wp:wrapNone/>
                      <wp:docPr id="245" name="Frame245"/>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70230" cy="175260"/>
                      <wp:effectExtent l="0" t="0" r="0" b="0"/>
                      <wp:wrapNone/>
                      <wp:docPr id="248" name="Frame24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(remainder of the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48,172</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137,495</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57,296</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estimated future ASC 842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303,248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BALANCE SHEET DISCLOSURES</w:t>
      </w:r>
    </w:p>
    <w:p>
      <w:pPr>
        <w:pStyle w:val="TextBody"/>
        <w:bidi w:val="0"/>
        <w:spacing w:before="0" w:after="240"/>
        <w:ind w:left="0" w:right="0" w:firstLine="720"/>
        <w:jc w:val="left"/>
        <w:rPr>
          <w:rFonts w:ascii="Helvetica;sans-serif" w:hAnsi="Helvetica;sans-serif"/>
          <w:sz w:val="20"/>
        </w:rPr>
      </w:pPr>
      <w:r>
        <w:rPr>
          <w:rFonts w:ascii="Times New Roman;Times;serif" w:hAnsi="Times New Roman;Times;serif"/>
          <w:b/>
          <w:i/>
          <w:sz w:val="20"/>
        </w:rPr>
        <w:t xml:space="preserve">Contract assets. </w:t>
      </w:r>
      <w:r>
        <w:rPr>
          <w:rFonts w:ascii="Times New Roman;Times;serif" w:hAnsi="Times New Roman;Times;serif"/>
          <w:sz w:val="20"/>
        </w:rPr>
        <w:t xml:space="preserve">Our contract assets are limited to trade accounts receivable.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our contract assets resulting from contracts with customers (in thousands):</w:t>
      </w:r>
    </w:p>
    <w:p>
      <w:pPr>
        <w:pStyle w:val="TextBody"/>
        <w:bidi w:val="0"/>
        <w:spacing w:before="0" w:after="0"/>
        <w:ind w:left="0" w:right="0" w:hanging="0"/>
        <w:jc w:val="left"/>
        <w:rPr/>
      </w:pPr>
      <w:r>
        <w:rPr/>
        <w:t>​</w:t>
      </w:r>
    </w:p>
    <w:tbl>
      <w:tblPr>
        <w:tblW w:w="7530" w:type="dxa"/>
        <w:jc w:val="left"/>
        <w:tblInd w:w="0" w:type="dxa"/>
        <w:tblLayout w:type="fixed"/>
        <w:tblCellMar>
          <w:top w:w="0" w:type="dxa"/>
          <w:left w:w="0" w:type="dxa"/>
          <w:bottom w:w="0" w:type="dxa"/>
          <w:right w:w="0" w:type="dxa"/>
        </w:tblCellMar>
      </w:tblPr>
      <w:tblGrid>
        <w:gridCol w:w="4096"/>
        <w:gridCol w:w="326"/>
        <w:gridCol w:w="211"/>
        <w:gridCol w:w="676"/>
        <w:gridCol w:w="109"/>
        <w:gridCol w:w="211"/>
        <w:gridCol w:w="571"/>
        <w:gridCol w:w="326"/>
        <w:gridCol w:w="211"/>
        <w:gridCol w:w="793"/>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600960" cy="175260"/>
                      <wp:effectExtent l="0" t="0" r="0" b="0"/>
                      <wp:wrapNone/>
                      <wp:docPr id="249" name="Frame249"/>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29260" cy="175260"/>
                      <wp:effectExtent l="0" t="0" r="0" b="0"/>
                      <wp:wrapNone/>
                      <wp:docPr id="252" name="Frame2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62585" cy="175260"/>
                      <wp:effectExtent l="0" t="0" r="0" b="0"/>
                      <wp:wrapNone/>
                      <wp:docPr id="255"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03555" cy="175260"/>
                      <wp:effectExtent l="0" t="0" r="0" b="0"/>
                      <wp:wrapNone/>
                      <wp:docPr id="258" name="Frame25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Contracts under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center"/>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ASC 606</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ASC 842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24,363</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at September 30, 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30,103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Helvetica;sans-serif" w:hAnsi="Helvetica;sans-serif"/>
          <w:sz w:val="20"/>
        </w:rPr>
      </w:pPr>
      <w:r>
        <w:rPr>
          <w:rFonts w:ascii="Times New Roman;Times;serif" w:hAnsi="Times New Roman;Times;serif"/>
          <w:b/>
          <w:i/>
          <w:sz w:val="20"/>
        </w:rPr>
        <w:t xml:space="preserve">Contract liabilities. </w:t>
      </w:r>
      <w:r>
        <w:rPr>
          <w:rFonts w:ascii="Times New Roman;Times;serif" w:hAnsi="Times New Roman;Times;serif"/>
          <w:sz w:val="20"/>
        </w:rPr>
        <w:t xml:space="preserve">Our contract liabilities include deferred revenue and customer advances and deposits. We have long-term terminaling services agreements with certain of our customers that provide for advance minimum payments. We recognize the advance minimum payments as revenue on a straight-line basis over the term of the respective agreements. In addition, pursuant to certain agreements with our customers, we agreed to undertake 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880" w:name="Tc_QR64DbOvGEGiB4QmvFK9Cg_4_8"/>
      <w:bookmarkStart w:id="881" w:name="Tc_8LWNTO9hTkCoG-r8tiSAfw_4_5"/>
      <w:bookmarkStart w:id="882" w:name="Tc_usW3xOvcy0iH3ABzoMyrGw_4_2"/>
      <w:bookmarkStart w:id="883" w:name="Tc_GE7ewuA0xki9IZ0diLZCDg_4_0"/>
      <w:bookmarkStart w:id="884" w:name="Tc_Qq7fy67WpkKIaJAb5y0Jew_3_8"/>
      <w:bookmarkStart w:id="885" w:name="Tc_XmrNEZiyzUue5ckw53lLJA_3_5"/>
      <w:bookmarkStart w:id="886" w:name="Tc_ctEUFOdoyU-52aXGipmJsg_3_2"/>
      <w:bookmarkStart w:id="887" w:name="Tc_Ksyrc7Ooukm1rCRX7FCwgQ_3_0"/>
      <w:bookmarkStart w:id="888" w:name="Tc_y3wcMWfjrEOhiCgc__ABWA_2_8"/>
      <w:bookmarkStart w:id="889" w:name="Tc_-psf2-I_bU-NFF2u0RQvxw_2_5"/>
      <w:bookmarkStart w:id="890" w:name="Tc_NJFmTmEuP0G5DWQMud-zfg_2_2"/>
      <w:bookmarkStart w:id="891" w:name="Tc_9jRhC32UFUSlRP33b-L6nA_1_2"/>
      <w:bookmarkStart w:id="892" w:name="_ebcdc737_a129_49bf_a8cc_991f287d70f0"/>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Times New Roman;Times;serif" w:hAnsi="Times New Roman;Times;serif"/>
          <w:sz w:val="20"/>
        </w:rPr>
        <w:t>capital projects. Upon completion of the projects, our customers have paid us amounts that will be recognized as revenue on a straight-line basis over the remaining term of the agreements. Collectively, the differences between amounts billed and revenue recognized under ASC 606 and ASC 842 are recorded as contract liabilities. These liabilities are presented as deferred revenue in our consolidated balance sheets. We record customer advances and deposits when payments are received from customers in advance of the terminaling services being provided, resulting in a contract liability accounted for under ASC 606 and ASC 842. This liability is presented as accrued liabilities in our consolidated balance sheets (see Note 10 of Notes to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our contract liabilities resulting from contracts with customers (in thousands):</w:t>
      </w:r>
    </w:p>
    <w:p>
      <w:pPr>
        <w:pStyle w:val="TextBody"/>
        <w:bidi w:val="0"/>
        <w:spacing w:before="0" w:after="0"/>
        <w:ind w:left="0" w:right="0" w:hanging="0"/>
        <w:jc w:val="left"/>
        <w:rPr/>
      </w:pPr>
      <w:r>
        <w:rPr/>
        <w:t>​</w:t>
      </w:r>
    </w:p>
    <w:tbl>
      <w:tblPr>
        <w:tblW w:w="6945" w:type="dxa"/>
        <w:jc w:val="left"/>
        <w:tblInd w:w="0" w:type="dxa"/>
        <w:tblLayout w:type="fixed"/>
        <w:tblCellMar>
          <w:top w:w="0" w:type="dxa"/>
          <w:left w:w="0" w:type="dxa"/>
          <w:bottom w:w="0" w:type="dxa"/>
          <w:right w:w="0" w:type="dxa"/>
        </w:tblCellMar>
      </w:tblPr>
      <w:tblGrid>
        <w:gridCol w:w="3511"/>
        <w:gridCol w:w="326"/>
        <w:gridCol w:w="211"/>
        <w:gridCol w:w="571"/>
        <w:gridCol w:w="109"/>
        <w:gridCol w:w="211"/>
        <w:gridCol w:w="676"/>
        <w:gridCol w:w="326"/>
        <w:gridCol w:w="211"/>
        <w:gridCol w:w="793"/>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29485" cy="175260"/>
                      <wp:effectExtent l="0" t="0" r="0" b="0"/>
                      <wp:wrapNone/>
                      <wp:docPr id="259" name="Frame25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62585" cy="175260"/>
                      <wp:effectExtent l="0" t="0" r="0" b="0"/>
                      <wp:wrapNone/>
                      <wp:docPr id="262" name="Frame2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9260" cy="175260"/>
                      <wp:effectExtent l="0" t="0" r="0" b="0"/>
                      <wp:wrapNone/>
                      <wp:docPr id="265" name="Frame2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03555" cy="175260"/>
                      <wp:effectExtent l="0" t="0" r="0" b="0"/>
                      <wp:wrapNone/>
                      <wp:docPr id="268" name="Frame26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Contracts under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center"/>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ASC 606</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ASC 842</w:t>
            </w:r>
          </w:p>
        </w:tc>
        <w:tc>
          <w:tcPr>
            <w:tcW w:w="326"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13,874</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at September 30, 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14,024</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Revenue recognized during the nine months ended September 30, 2025, from amounts included in contract liabilities at December 31, 2024, was approximately $1.2 million for contracts under ASC 606 and approximately $12.3 million for contracts under ASC 842.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BUSINESS SEGMENTS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provide integrated terminaling, storage, transportation and related services to companies engaged in the trading, distribution and marketing of refined petroleum products, renewable products, crude oil, chemicals, fertilizers and other liquid products. In addition, we sell refined and renewable products to major fuel producers and marketers in the Pacific Northwest at our terminal in Tacoma, Washington. Our chief operating decision maker is the Company’s chief executive officer. The Company’s chief executive officer reviews the financial performance of our business segments using disaggregated financial information about “net margins”. Our chief operating decision maker considers the actual “net margins” as compared to the “net margins” for (i) the relevant prior period actual results, (ii) budget and (iii) guidance on a quarterly basis for purposes of making operating decisions and assessing financial performance. “Net margins” is composed of revenue less cost of product sales and operating costs and expenses. The cost of product sales at our terminal in Tacoma, Washington includes product purchases and transportation costs. The operating costs and expenses of our operations include wages and employee benefits, utilities, communications, repairs and maintenance, rent, property taxes, vehicle expenses, environmental compliance costs, contract services, legal fees and materials and supplies needed to operate our terminals and pipelines. Accordingly, we present “net margins” for each of our business segments: (i) Gulf Coast terminals, (ii) Midwest terminals, (iii) Brownsville terminals including management of Frontera, (iv) River terminals, (v) Southeast terminals, (vi) West Coast terminals and (vii) Central services. Our Central services segment primarily represents the costs of employees performing operating oversight functions, engineering, health, safety and environmental services to our terminals and terminals that we operate. In addition, Central services represent the cost of employees at standalone affiliate terminals that we operate or manage. We receive a fee from these affiliates based on our costs incurred. Accounting policies for each segment are the same as the accounting policies described in Note 1 of Notes to the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lineRule="atLeast" w:line="220" w:before="0" w:after="240"/>
        <w:ind w:left="0" w:right="0" w:hanging="0"/>
        <w:jc w:val="left"/>
        <w:rPr>
          <w:rFonts w:ascii="Times New Roman;Times;serif" w:hAnsi="Times New Roman;Times;serif"/>
          <w:sz w:val="20"/>
        </w:rPr>
      </w:pPr>
      <w:bookmarkStart w:id="893" w:name="Tc_s4Y503QN5EKt0kTFeYIMow_54_11"/>
      <w:bookmarkStart w:id="894" w:name="Tc_3tSdaeblekebP6ox6YgBDg_54_8"/>
      <w:bookmarkStart w:id="895" w:name="Tc_-3uspbSz0U-lEfY3N1WDQw_54_5"/>
      <w:bookmarkStart w:id="896" w:name="Tc_ZoCStsDm50mGV-5l5lWuvw_54_2"/>
      <w:bookmarkStart w:id="897" w:name="Tc_abdPbILKvU20lyD-w2AsQA_54_0"/>
      <w:bookmarkStart w:id="898" w:name="Tc_r8pxnmO5wkuObcodwS07lg_53_0"/>
      <w:bookmarkStart w:id="899" w:name="Tc_5SUXVMMjqE-VoOufaS9y9w_52_0"/>
      <w:bookmarkStart w:id="900" w:name="Tc_ztctI-AuxESEKS0mApM4bA_51_0"/>
      <w:bookmarkStart w:id="901" w:name="Tc_fUGPINrxFUS3XRj4I-nGRg_50_0"/>
      <w:bookmarkStart w:id="902" w:name="Tc_v3EKNg-nF06JCzihVMK5OQ_49_0"/>
      <w:bookmarkStart w:id="903" w:name="Tc_xVJ_fzIVjUmCHusMYnZbdw_48_0"/>
      <w:bookmarkStart w:id="904" w:name="Tc_uHwVJAlaEUqWNpD3RAHonQ_47_0"/>
      <w:bookmarkStart w:id="905" w:name="Tc_E61182KCcUS5zjyqFg35IA_46_0"/>
      <w:bookmarkStart w:id="906" w:name="Tc_G4NWBvfkU0mIfG2r9jKO6A_45_0"/>
      <w:bookmarkStart w:id="907" w:name="Tc_n-Jxxbw1J0-zcesZcyymow_44_0"/>
      <w:bookmarkStart w:id="908" w:name="Tc_sp4twyj640Ou7W7aKEDDCg_43_0"/>
      <w:bookmarkStart w:id="909" w:name="Tc_Q3PZpoFswEeBcVt9nHdTyg_42_0"/>
      <w:bookmarkStart w:id="910" w:name="Tc_ir38A3JvQEm9xPC9FTWNUg_41_0"/>
      <w:bookmarkStart w:id="911" w:name="Tc_qyG8UbK0Ak6dS7StWnIr9Q_40_0"/>
      <w:bookmarkStart w:id="912" w:name="Tc_3438fK9dFEOH6VLtAx0NiA_39_0"/>
      <w:bookmarkStart w:id="913" w:name="Tc_h7jFokKTx06xQfg22Puejg_38_0"/>
      <w:bookmarkStart w:id="914" w:name="Tc_kwm0592k40SIWUbP_n1eTA_37_0"/>
      <w:bookmarkStart w:id="915" w:name="Tc_bd9KUfAQSUSFXQiACrJAzA_36_0"/>
      <w:bookmarkStart w:id="916" w:name="Tc_QBOBcTI_iUOOQYfe3TQAXg_35_9"/>
      <w:bookmarkStart w:id="917" w:name="Tc_8vlechAgAEKgpuZqPfMW0w_35_6"/>
      <w:bookmarkStart w:id="918" w:name="Tc_r7Bw3OIVM0KV9XIVDgWXEQ_35_3"/>
      <w:bookmarkStart w:id="919" w:name="Tc_1Pw8LGjAsUeb5Yq1PSqc5Q_35_0"/>
      <w:bookmarkStart w:id="920" w:name="Tc_7ff7W7DBdkSZyxhaaPE-Pg_34_0"/>
      <w:bookmarkStart w:id="921" w:name="Tc_yBWKofKx7Eme8JaMcbIlTA_33_0"/>
      <w:bookmarkStart w:id="922" w:name="Tc_uIe2OBvMLk-a5Qhy8SFqbA_32_0"/>
      <w:bookmarkStart w:id="923" w:name="Tc_KcK5fB4haUKWw5lybtzlGw_31_0"/>
      <w:bookmarkStart w:id="924" w:name="Tc_KT8iNuVBxU6vVVQZgLD3UQ_30_0"/>
      <w:bookmarkStart w:id="925" w:name="Tc_grOiUAfgeU-UwEHBsozgSA_29_0"/>
      <w:bookmarkStart w:id="926" w:name="Tc_u4kVYD3IKE6TRQKnXlQ_uQ_28_0"/>
      <w:bookmarkStart w:id="927" w:name="Tc_nzxTpiBg0UCGaJQSEOUzXg_27_0"/>
      <w:bookmarkStart w:id="928" w:name="Tc_RSLpSsWXfkq02iMZTNORWQ_26_0"/>
      <w:bookmarkStart w:id="929" w:name="Tc_8TSmpMjY-EyWj2ciZJZq8A_25_0"/>
      <w:bookmarkStart w:id="930" w:name="Tc_UJgrDpc4WEicdVBpX4_ayg_24_0"/>
      <w:bookmarkStart w:id="931" w:name="Tc_qX4xcahYgk2WymbFpQO8Iw_23_0"/>
      <w:bookmarkStart w:id="932" w:name="Tc_vJZI7VEhF0yLZ-SQ-O1SSQ_22_0"/>
      <w:bookmarkStart w:id="933" w:name="Tc_aWTJ18dEHUOyWySKJuU9Wg_21_0"/>
      <w:bookmarkStart w:id="934" w:name="Tc_DSjfDS-_h0KmibgTzZml7Q_20_0"/>
      <w:bookmarkStart w:id="935" w:name="Tc_D987eXqwAEK80k_u3x5RmA_19_0"/>
      <w:bookmarkStart w:id="936" w:name="Tc_4nROqmaFaEGY1fq5O2tGFQ_18_0"/>
      <w:bookmarkStart w:id="937" w:name="Tc_A1hxakVB6kOiQL8sqWKCJg_17_0"/>
      <w:bookmarkStart w:id="938" w:name="Tc_k0uhVm7N2UOK_A3oSGf7OQ_16_0"/>
      <w:bookmarkStart w:id="939" w:name="Tc__LU9AMioKUGE_Qe9WDbstQ_15_0"/>
      <w:bookmarkStart w:id="940" w:name="Tc_BCH22XBADk6d6OoqD_GnPA_14_0"/>
      <w:bookmarkStart w:id="941" w:name="Tc_d7mkcnPODEq83dd9WlWQJg_13_0"/>
      <w:bookmarkStart w:id="942" w:name="Tc_Ls6o2hXS-kGUD4jbIlxGOg_12_0"/>
      <w:bookmarkStart w:id="943" w:name="Tc_pGM-t8OBWECn0HI87KxEnw_11_0"/>
      <w:bookmarkStart w:id="944" w:name="Tc_wciNj47ewkWUp4DAvNCxig_10_0"/>
      <w:bookmarkStart w:id="945" w:name="Tc_x2M8xIwBT02-IWkDzyYw9g_9_0"/>
      <w:bookmarkStart w:id="946" w:name="Tc_-s0WMtTLvk2wX055R3FSOQ_8_0"/>
      <w:bookmarkStart w:id="947" w:name="Tc_cMc4RGoxAUCS1tEQ3C60ww_7_0"/>
      <w:bookmarkStart w:id="948" w:name="Tc_oeSVciikeE67_SX4sTHlMA_6_0"/>
      <w:bookmarkStart w:id="949" w:name="Tc_0XUCF311k0aoasaiqihQJw_5_11"/>
      <w:bookmarkStart w:id="950" w:name="Tc_52_hAQFkek6dyoJ7njZRVg_5_8"/>
      <w:bookmarkStart w:id="951" w:name="Tc_Rksivu3RvEedQXzh-4U5qQ_5_5"/>
      <w:bookmarkStart w:id="952" w:name="Tc_tpYryUptg02XoTJuz8DmYA_5_2"/>
      <w:bookmarkStart w:id="953" w:name="Tc_RjPeRKvXHU-vtL_XjxyfrQ_5_0"/>
      <w:bookmarkStart w:id="954" w:name="Tc_9EsJnUzvt0CPW0QHlch9XA_4_0"/>
      <w:bookmarkStart w:id="955" w:name="Tc_r8NjpdSfIEGh6WJVBQFabA_3_11"/>
      <w:bookmarkStart w:id="956" w:name="Tc_wPFPdnPOakmkINh-fH9uYw_3_8"/>
      <w:bookmarkStart w:id="957" w:name="Tc_JJS-8IQB30662Ab1mylTug_3_5"/>
      <w:bookmarkStart w:id="958" w:name="Tc_74p6QuJ0VkehYegeNhGv2A_3_2"/>
      <w:bookmarkStart w:id="959" w:name="Tc_cumzGzxXREOuubKOnUtD0A_2_8"/>
      <w:bookmarkStart w:id="960" w:name="Tc_nmxk0lQXqES0qWkt2IeLbg_2_2"/>
      <w:bookmarkStart w:id="961" w:name="Tc_o_eaKBMGn0GCtftGgqRsFQ_1_8"/>
      <w:bookmarkStart w:id="962" w:name="Tc_oZ2XeGVCVkm_22d0YcYtoQ_1_2"/>
      <w:bookmarkStart w:id="963" w:name="_aff34b48_b1cb_470d_be43_d0776f9b6213"/>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r>
        <w:rPr>
          <w:rFonts w:ascii="Times New Roman;Times;serif" w:hAnsi="Times New Roman;Times;serif"/>
          <w:sz w:val="20"/>
        </w:rPr>
        <w:t>The financial performance of our business segments was as follows (in thousands):</w:t>
      </w:r>
    </w:p>
    <w:p>
      <w:pPr>
        <w:pStyle w:val="TextBody"/>
        <w:bidi w:val="0"/>
        <w:spacing w:before="0" w:after="0"/>
        <w:ind w:left="0" w:right="0" w:hanging="0"/>
        <w:jc w:val="left"/>
        <w:rPr/>
      </w:pPr>
      <w:r>
        <w:rPr/>
        <w:t>​</w:t>
      </w:r>
    </w:p>
    <w:tbl>
      <w:tblPr>
        <w:tblW w:w="9203" w:type="dxa"/>
        <w:jc w:val="left"/>
        <w:tblInd w:w="0" w:type="dxa"/>
        <w:tblLayout w:type="fixed"/>
        <w:tblCellMar>
          <w:top w:w="0" w:type="dxa"/>
          <w:left w:w="0" w:type="dxa"/>
          <w:bottom w:w="0" w:type="dxa"/>
          <w:right w:w="0" w:type="dxa"/>
        </w:tblCellMar>
      </w:tblPr>
      <w:tblGrid>
        <w:gridCol w:w="4096"/>
        <w:gridCol w:w="326"/>
        <w:gridCol w:w="196"/>
        <w:gridCol w:w="721"/>
        <w:gridCol w:w="326"/>
        <w:gridCol w:w="196"/>
        <w:gridCol w:w="811"/>
        <w:gridCol w:w="146"/>
        <w:gridCol w:w="196"/>
        <w:gridCol w:w="811"/>
        <w:gridCol w:w="326"/>
        <w:gridCol w:w="196"/>
        <w:gridCol w:w="85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600960" cy="175260"/>
                      <wp:effectExtent l="0" t="0" r="0" b="0"/>
                      <wp:wrapNone/>
                      <wp:docPr id="269" name="Frame269"/>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4460" cy="175260"/>
                      <wp:effectExtent l="0" t="0" r="0" b="0"/>
                      <wp:wrapNone/>
                      <wp:docPr id="271" name="Frame2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57835" cy="175260"/>
                      <wp:effectExtent l="0" t="0" r="0" b="0"/>
                      <wp:wrapNone/>
                      <wp:docPr id="272" name="Frame2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24460" cy="175260"/>
                      <wp:effectExtent l="0" t="0" r="0" b="0"/>
                      <wp:wrapNone/>
                      <wp:docPr id="274" name="Frame2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14985" cy="175260"/>
                      <wp:effectExtent l="0" t="0" r="0" b="0"/>
                      <wp:wrapNone/>
                      <wp:docPr id="275" name="Frame27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2710" cy="175260"/>
                      <wp:effectExtent l="0" t="0" r="0" b="0"/>
                      <wp:wrapNone/>
                      <wp:docPr id="276" name="Frame2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24460" cy="175260"/>
                      <wp:effectExtent l="0" t="0" r="0" b="0"/>
                      <wp:wrapNone/>
                      <wp:docPr id="277" name="Frame2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14985" cy="175260"/>
                      <wp:effectExtent l="0" t="0" r="0" b="0"/>
                      <wp:wrapNone/>
                      <wp:docPr id="278" name="Frame27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24460" cy="175260"/>
                      <wp:effectExtent l="0" t="0" r="0" b="0"/>
                      <wp:wrapNone/>
                      <wp:docPr id="280" name="Frame2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43560" cy="175260"/>
                      <wp:effectExtent l="0" t="0" r="0" b="0"/>
                      <wp:wrapNone/>
                      <wp:docPr id="281" name="Frame28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146" w:type="dxa"/>
            <w:tcBorders/>
            <w:vAlign w:val="center"/>
          </w:tcPr>
          <w:p>
            <w:pPr>
              <w:pStyle w:val="TableContents"/>
              <w:bidi w:val="0"/>
              <w:spacing w:before="0" w:after="0"/>
              <w:ind w:left="0" w:right="0" w:hanging="0"/>
              <w:jc w:val="center"/>
              <w:rPr/>
            </w:pPr>
            <w:r>
              <w:rPr/>
              <w:t> </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46" w:type="dxa"/>
            <w:tcBorders/>
            <w:vAlign w:val="center"/>
          </w:tcPr>
          <w:p>
            <w:pPr>
              <w:pStyle w:val="TableContents"/>
              <w:bidi w:val="0"/>
              <w:spacing w:before="0" w:after="0"/>
              <w:ind w:left="0" w:right="0" w:hanging="0"/>
              <w:jc w:val="center"/>
              <w:rPr/>
            </w:pPr>
            <w:r>
              <w:rPr/>
              <w:t> </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Gulf Coast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Terminaling services fees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23,129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22,063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67,811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66,165</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Management fees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23,146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22,083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67,865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66,228</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(6,520)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(18,752)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(18,849)</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margins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16,626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15,876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49,113</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47,379</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Midwest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Terminaling services fees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2,849</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2,779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8,228</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8,465</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2,849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2,779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8,228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8,465</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(1,479)</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(1,363)</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margins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2,363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2,305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6,749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7,102</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Brownsville Terminals: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Terminaling services fees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4,075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4,513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8,055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13,687</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Management fees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1,269</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3,845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4,547</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5,344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5,883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11,900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18,234</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(3,287)</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(3,212)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(10,441)</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(8,733)</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margins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2,057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2,671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1,459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9,501</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River Terminals: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Terminaling services fees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4,257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3,759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13,209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11,058</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4,257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3,759</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13,209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11,058</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(1,982)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(5,879)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(5,122)</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margins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2,275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2,135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7,330</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5,936</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Terminaling services fees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17,822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17,910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54,070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55,174</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Management fees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694</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18,093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18,158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54,881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55,868</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(7,934)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(22,185)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(21,330)</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margins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10,159</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10,758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32,696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34,538</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West Coast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Product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83,852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109,732</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257,131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290,568</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Terminaling services fees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25,374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26,474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79,499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76,412</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Management fees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109,226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136,206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336,630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366,986</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Cost of product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(76,961)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(102,377)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(238,580)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(271,850)</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(10,147)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(9,948)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(29,485)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(29,718)</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Costs and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(87,108)</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(112,325)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(268,065)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(301,568)</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margins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22,118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23,881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68,565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65,418</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Central Services: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Management fees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3,398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6,129</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1,819</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3,398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6,129</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(4,849)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(4,606)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(14,903)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(13,385)</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margins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(3,764)</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(2,787)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(11,505)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(7,256)</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Total net margins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51,834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54,839</w:t>
            </w:r>
          </w:p>
        </w:tc>
        <w:tc>
          <w:tcPr>
            <w:tcW w:w="1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154,407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162,618</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General and administrative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(6,869)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(7,366)</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(21,024)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(23,486)</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Insurance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(2,113)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(5,574)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(5,125)</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Deferred compensation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(1,992)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(3,165)</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(18,066)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(17,872)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(54,241)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(53,386)</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Earnings from unconsolidated affiliates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1,189</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4,428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9,205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11,552</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25,439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31,692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80,781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89,008</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expenses (interest and deferred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(33,698)</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(51,109)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(109,274)</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(90,393)</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(8,259)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(19,417)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(28,493)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(1,385)</w:t>
            </w:r>
          </w:p>
        </w:tc>
      </w:tr>
    </w:tbl>
    <w:p>
      <w:pPr>
        <w:pStyle w:val="TextBody"/>
        <w:bidi w:val="0"/>
        <w:spacing w:before="24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bookmarkStart w:id="964" w:name="Tc_uj7yjrl1gky3n7E-n0C6Dg_9_23"/>
      <w:bookmarkStart w:id="965" w:name="Tc_-mpg3xwfK0-a3v45sawrGg_9_20"/>
      <w:bookmarkStart w:id="966" w:name="Tc_vj2W1EkgBUi7pTbxaXMC4Q_9_17"/>
      <w:bookmarkStart w:id="967" w:name="Tc_ngB0oj6ISEmExN4A-Iyghw_9_14"/>
      <w:bookmarkStart w:id="968" w:name="Tc_kd-CV-UCAU6rUnEsZuq22A_9_11"/>
      <w:bookmarkStart w:id="969" w:name="Tc_aS65pEdqc0uHV_38KhUBrg_9_8"/>
      <w:bookmarkStart w:id="970" w:name="Tc_c0fOScoFX0646gjIwRExbQ_9_5"/>
      <w:bookmarkStart w:id="971" w:name="Tc_-Si-JEinJkOT8dT1whDnSQ_9_2"/>
      <w:bookmarkStart w:id="972" w:name="Tc_goirEXFU202yj8FXrLhj1A_9_0"/>
      <w:bookmarkStart w:id="973" w:name="Tc_PK5nQoFqnkaf_NvU02TsPA_8_23"/>
      <w:bookmarkStart w:id="974" w:name="Tc_xjOfqmEVrEG24jLuxzg-hg_8_20"/>
      <w:bookmarkStart w:id="975" w:name="Tc_eueMnOrNFEy4zsJ7Fsqs6g_8_17"/>
      <w:bookmarkStart w:id="976" w:name="Tc_QzBgZr_MFUeYRS31AYYcWA_8_14"/>
      <w:bookmarkStart w:id="977" w:name="Tc_h4EA-2NkD0-fN5CFGZb_-A_8_11"/>
      <w:bookmarkStart w:id="978" w:name="Tc_s9WdmsY_DEmM7yJKNb3_pQ_8_8"/>
      <w:bookmarkStart w:id="979" w:name="Tc_LjqsH7pZ9UeQ-ynTou7uxg_8_5"/>
      <w:bookmarkStart w:id="980" w:name="Tc_QNfuOyMIlUe3kfgG9u6dkA_8_2"/>
      <w:bookmarkStart w:id="981" w:name="Tc_pIQklgZWw0mYpVUNVx0OLw_8_0"/>
      <w:bookmarkStart w:id="982" w:name="Tc_ksqhKU7Fzk2ix6kAyt_mYw_7_21"/>
      <w:bookmarkStart w:id="983" w:name="Tc_FQrMvDaHMEWKOgsz2x1MSQ_7_15"/>
      <w:bookmarkStart w:id="984" w:name="Tc_SNP0azSm9UurM1gHqp2jgQ_7_12"/>
      <w:bookmarkStart w:id="985" w:name="Tc_8wJdtZMbeEOPSEDS0Y3gUA_7_9"/>
      <w:bookmarkStart w:id="986" w:name="Tc_G0ydcFIvvUyWlg_IXVH_dw_7_6"/>
      <w:bookmarkStart w:id="987" w:name="Tc_JRYBQh203kiVODT9RFSNmQ_7_3"/>
      <w:bookmarkStart w:id="988" w:name="Tc__Uz1ctBhpEe8UY1S7peXRg_7_0"/>
      <w:bookmarkStart w:id="989" w:name="Tc_8xY0ZfRiEUiADbBt2V2uVw_6_23"/>
      <w:bookmarkStart w:id="990" w:name="Tc_GUi9sbMJ8kuzcdEoO6PntQ_6_20"/>
      <w:bookmarkStart w:id="991" w:name="Tc_Ea0sl2vDG0-QeX87jmk9Kg_6_17"/>
      <w:bookmarkStart w:id="992" w:name="Tc_xcmF29l65EuCCDuU1wBhRA_6_14"/>
      <w:bookmarkStart w:id="993" w:name="Tc_K2E3OOTgpk2IVoLUJk8Nnw_6_11"/>
      <w:bookmarkStart w:id="994" w:name="Tc_Ksi-atbLuUGBm5qnt4WaLA_6_8"/>
      <w:bookmarkStart w:id="995" w:name="Tc_BKli8KEw70CrHKpudcvOBA_6_5"/>
      <w:bookmarkStart w:id="996" w:name="Tc_RIhDEkUYW02OXKPH8fyoPw_6_2"/>
      <w:bookmarkStart w:id="997" w:name="Tc_dk__3i52gka-uUsOnXW5FA_6_0"/>
      <w:bookmarkStart w:id="998" w:name="Tc_0e-Dn7Jp9Um6g7cEkrztlA_5_0"/>
      <w:bookmarkStart w:id="999" w:name="Tc_7wzw4-Sw50CnRjAi_8r49g_4_23"/>
      <w:bookmarkStart w:id="1000" w:name="Tc_Bojf69f9lEyGmaIPCJuWWw_4_20"/>
      <w:bookmarkStart w:id="1001" w:name="Tc_H4U09-Bw4kWDGav8_3iRXQ_4_17"/>
      <w:bookmarkStart w:id="1002" w:name="Tc_ayJSGnE-QkyPed6_oEYEag_4_14"/>
      <w:bookmarkStart w:id="1003" w:name="Tc_kB1I1mjWYE-tNgHaFO6nBQ_4_11"/>
      <w:bookmarkStart w:id="1004" w:name="Tc_YAeDAeLVFEWJFWem90bASA_4_8"/>
      <w:bookmarkStart w:id="1005" w:name="Tc_n4EOKvoT_UugMex6CK7IVg_4_5"/>
      <w:bookmarkStart w:id="1006" w:name="Tc_ive2lMEzTkCFOUygmGTgfg_4_2"/>
      <w:bookmarkStart w:id="1007" w:name="Tc_VDRg2emhkUWo-NupMcjFtw_3_20"/>
      <w:bookmarkStart w:id="1008" w:name="Tc_-QUAQT8YHEmzpQ4XJW7cOA_3_17"/>
      <w:bookmarkStart w:id="1009" w:name="Tc_0Hiymxzb-0uxzDbjjlsJTg_3_14"/>
      <w:bookmarkStart w:id="1010" w:name="Tc_kXmV4SKMvUy1Ub_XnK_1gw_3_11"/>
      <w:bookmarkStart w:id="1011" w:name="Tc_LEkHa604vEWfzNRuvNH5vQ_3_8"/>
      <w:bookmarkStart w:id="1012" w:name="Tc_fYJLVXLs7UaCwsSF9t6-vg_3_5"/>
      <w:bookmarkStart w:id="1013" w:name="Tc_TbyHz0iuQEmSpPMePUXbhA_3_2"/>
      <w:bookmarkStart w:id="1014" w:name="Tc_L0Se48NXH0ymoiinxY62_w_1_2"/>
      <w:bookmarkStart w:id="1015" w:name="_d8d231a6_96bf_4b0a_8e23_bdf8486e09bd"/>
      <w:bookmarkStart w:id="1016" w:name="Tc_cNJ8CFqeZEW5J916168-vg_9_23"/>
      <w:bookmarkStart w:id="1017" w:name="Tc_FQGDJDKB0EamKb_anf1fSQ_9_20"/>
      <w:bookmarkStart w:id="1018" w:name="Tc_IMUkf-g200awWtLA-nHjgA_9_17"/>
      <w:bookmarkStart w:id="1019" w:name="Tc_c3y_7aOX2Euts5x_ZGmLMw_9_14"/>
      <w:bookmarkStart w:id="1020" w:name="Tc_o1lsMApSY0u6SMDnk7s7aw_9_11"/>
      <w:bookmarkStart w:id="1021" w:name="Tc_an2nV2QZMUSsJIGA1d_x9A_9_8"/>
      <w:bookmarkStart w:id="1022" w:name="Tc_qhkwFwCvQEqnnHvAxMUDIg_9_5"/>
      <w:bookmarkStart w:id="1023" w:name="Tc_IQ49WuafTUiS1mt5VQLqnQ_9_2"/>
      <w:bookmarkStart w:id="1024" w:name="Tc_upn1dwH6X0OloqvoUm8x4g_9_0"/>
      <w:bookmarkStart w:id="1025" w:name="Tc_1jNpDTIktk2Ais1weZnZFQ_8_23"/>
      <w:bookmarkStart w:id="1026" w:name="Tc_r_FyUj8VZ0Gxn3zeZgPTJw_8_20"/>
      <w:bookmarkStart w:id="1027" w:name="Tc_3Emhrxx7s0usYztIlhnR8w_8_17"/>
      <w:bookmarkStart w:id="1028" w:name="Tc_tesnlLJpBkuCAbuctm7a8g_8_14"/>
      <w:bookmarkStart w:id="1029" w:name="Tc_HyF64Qa0ekquhEYBEcFRaw_8_11"/>
      <w:bookmarkStart w:id="1030" w:name="Tc_oWfRAPuX_ESRQhasvtPLUA_8_8"/>
      <w:bookmarkStart w:id="1031" w:name="Tc_z5aGO9Z_ZUCJVA4lhl-yMg_8_5"/>
      <w:bookmarkStart w:id="1032" w:name="Tc_KnDO6ud5hkSeni2xDRerww_8_2"/>
      <w:bookmarkStart w:id="1033" w:name="Tc_CTadZ8MAYUaOjbvR0PsMzQ_8_0"/>
      <w:bookmarkStart w:id="1034" w:name="Tc_tVN_1rp2IE2QKqkHsPsItg_7_21"/>
      <w:bookmarkStart w:id="1035" w:name="Tc_OGD5esayhUS14er_TG735A_7_15"/>
      <w:bookmarkStart w:id="1036" w:name="Tc_6SjAdXxnK0ugqVZumb8A5Q_7_12"/>
      <w:bookmarkStart w:id="1037" w:name="Tc_M1b-nl8bCUGEhqn86oftKA_7_9"/>
      <w:bookmarkStart w:id="1038" w:name="Tc_SWoSPVV4g0OfXvDf-L9_zA_7_6"/>
      <w:bookmarkStart w:id="1039" w:name="Tc_scNQkKl_sUOkDH7Pgh79wA_7_3"/>
      <w:bookmarkStart w:id="1040" w:name="Tc_MTMPXKWYHEanzTKIicNSfA_7_0"/>
      <w:bookmarkStart w:id="1041" w:name="Tc_tLyVUJ3Fr06NUbPRx7D77w_6_23"/>
      <w:bookmarkStart w:id="1042" w:name="Tc_CkMpjrLj_UK6WI45PY6jIA_6_20"/>
      <w:bookmarkStart w:id="1043" w:name="Tc_dDfAB7OMAUSSxbs1Clvh-g_6_17"/>
      <w:bookmarkStart w:id="1044" w:name="Tc_HwXXlNoBLk2EyTG5cwiPqg_6_14"/>
      <w:bookmarkStart w:id="1045" w:name="Tc_Z-V-rW3rYkitm-IfXj6z_Q_6_11"/>
      <w:bookmarkStart w:id="1046" w:name="Tc_Aje1_NnPlkeCaffjxeNyvw_6_8"/>
      <w:bookmarkStart w:id="1047" w:name="Tc_M-lDUjwv3kStyIFp6Zhufw_6_5"/>
      <w:bookmarkStart w:id="1048" w:name="Tc_384fZLR5v0e_hb7ta2u9Vg_6_2"/>
      <w:bookmarkStart w:id="1049" w:name="Tc_JQF3R-_PZU6clTg1GqF5lA_6_0"/>
      <w:bookmarkStart w:id="1050" w:name="Tc_ErhYOC6vw0GN1hA9W0Dw0g_5_0"/>
      <w:bookmarkStart w:id="1051" w:name="Tc_kNEpAMH9z0OB8ePZwiB8pQ_4_23"/>
      <w:bookmarkStart w:id="1052" w:name="Tc_WlJjaW3QH0KfGAjuJpkD2g_4_20"/>
      <w:bookmarkStart w:id="1053" w:name="Tc_0uZ1JLWQcE2Pr74EClCWKw_4_17"/>
      <w:bookmarkStart w:id="1054" w:name="Tc_V0Zy4lgTF0malx_gBguAmg_4_14"/>
      <w:bookmarkStart w:id="1055" w:name="Tc_Iq1tVHFTRUKvqoVCRfEcCw_4_11"/>
      <w:bookmarkStart w:id="1056" w:name="Tc_YAJVSbd61EGyyCIZ5hCaMQ_4_8"/>
      <w:bookmarkStart w:id="1057" w:name="Tc_fe6SitmP_UmYhMCYm4RjKQ_4_5"/>
      <w:bookmarkStart w:id="1058" w:name="Tc_JNBwmEM3_UeVAcs_auNvog_4_2"/>
      <w:bookmarkStart w:id="1059" w:name="Tc_KrWZzX2IQEy-TCH4KPzdsQ_3_20"/>
      <w:bookmarkStart w:id="1060" w:name="Tc_NOh5q7RNaE2pcoP9fAXMfQ_3_17"/>
      <w:bookmarkStart w:id="1061" w:name="Tc_WsY4swHB_0GEQ-f55Sm0AA_3_14"/>
      <w:bookmarkStart w:id="1062" w:name="Tc_MIlBHNZEW0yUz375CViLmw_3_11"/>
      <w:bookmarkStart w:id="1063" w:name="Tc_kC_TEVMdHEKMj_-IORtrBA_3_8"/>
      <w:bookmarkStart w:id="1064" w:name="Tc_Eke6PyWDw0WFIoCP7ng2TQ_3_5"/>
      <w:bookmarkStart w:id="1065" w:name="Tc_20dsb0gzT0qv1imL3swUWg_3_2"/>
      <w:bookmarkStart w:id="1066" w:name="Tc_zlxcPPGFVE-eKLy2yQETMA_1_2"/>
      <w:bookmarkStart w:id="1067" w:name="_6f4464b4_4cf2_42b4_8724_72e5175e9f27"/>
      <w:bookmarkStart w:id="1068" w:name="Tc_BCfdP5YyYU6oxuDdT6rrcg_9_23"/>
      <w:bookmarkStart w:id="1069" w:name="Tc_Mpw1POf1TUOgbHfVMXDCLQ_9_20"/>
      <w:bookmarkStart w:id="1070" w:name="Tc_lSn7Ul2dG066pmR1372V2Q_9_17"/>
      <w:bookmarkStart w:id="1071" w:name="Tc_R1Gv2Rj8qkusAlkf3sB_kQ_9_14"/>
      <w:bookmarkStart w:id="1072" w:name="Tc_B3xBpUxa50euQY5WG6uKuQ_9_11"/>
      <w:bookmarkStart w:id="1073" w:name="Tc_eLTJwakw0kWigAqhJTEqJg_9_8"/>
      <w:bookmarkStart w:id="1074" w:name="Tc_n4mvNsJIdUClmi3uh41Ubw_9_5"/>
      <w:bookmarkStart w:id="1075" w:name="Tc_II-AzBu3N0mRxAb5ud3krQ_9_2"/>
      <w:bookmarkStart w:id="1076" w:name="Tc_kcRyM1sq3ESU3k-ZZEkYpg_9_0"/>
      <w:bookmarkStart w:id="1077" w:name="Tc_OGyjBDUZD0Oy8S32fXTsAA_8_23"/>
      <w:bookmarkStart w:id="1078" w:name="Tc_xaTpPFMWIk6gLhZenpfneQ_8_20"/>
      <w:bookmarkStart w:id="1079" w:name="Tc_OvtuUioB8U-rfYRXHUzcKA_8_17"/>
      <w:bookmarkStart w:id="1080" w:name="Tc_SBB4re35l0OwaPCbSIgehA_8_14"/>
      <w:bookmarkStart w:id="1081" w:name="Tc_PuWFIWBao0qvUhLZuT2eOg_8_11"/>
      <w:bookmarkStart w:id="1082" w:name="Tc_t7ccfjrUYUyUBJSck5v-ug_8_8"/>
      <w:bookmarkStart w:id="1083" w:name="Tc_pVhjU3PtqkSY9HMbOetMDg_8_5"/>
      <w:bookmarkStart w:id="1084" w:name="Tc_YfQaX3epDk27k1n_s2_f0w_8_2"/>
      <w:bookmarkStart w:id="1085" w:name="Tc_wD26cFSAhUKODL15n9bqJg_8_0"/>
      <w:bookmarkStart w:id="1086" w:name="Tc_O5I-K_fFDk2yxZ3A-8i1xQ_7_21"/>
      <w:bookmarkStart w:id="1087" w:name="Tc_S2H4F7VPYESFIJreJYR_Ow_7_15"/>
      <w:bookmarkStart w:id="1088" w:name="Tc_d-ocgD3dGU-m5OzfH3gBXQ_7_12"/>
      <w:bookmarkStart w:id="1089" w:name="Tc_ly4eJk7z-UOxPikfw_BMRA_7_9"/>
      <w:bookmarkStart w:id="1090" w:name="Tc_rz_bzbYwZ0iio2fyooP2qQ_7_6"/>
      <w:bookmarkStart w:id="1091" w:name="Tc_I1lwAsJ1vkCA2ZzSi0mqFg_7_3"/>
      <w:bookmarkStart w:id="1092" w:name="Tc_8hbLWJMJL0OYDZAPN119Tg_7_0"/>
      <w:bookmarkStart w:id="1093" w:name="Tc_xNj5xxS6dEmImL9NUj2biw_6_23"/>
      <w:bookmarkStart w:id="1094" w:name="Tc_my7dqbvNDku5BEFXvlvTAw_6_20"/>
      <w:bookmarkStart w:id="1095" w:name="Tc_EuWdJCPZtUi329frOmsfiQ_6_17"/>
      <w:bookmarkStart w:id="1096" w:name="Tc_EVY3qaNaKUaDx3yRS2KjUw_6_14"/>
      <w:bookmarkStart w:id="1097" w:name="Tc_u0eNwfSDAE2fM6Wt-v4aiw_6_11"/>
      <w:bookmarkStart w:id="1098" w:name="Tc_Lymz7RUruE22ZDD4LWkE-A_6_8"/>
      <w:bookmarkStart w:id="1099" w:name="Tc_ovoTzxOeBk-MSYvzSvYApQ_6_5"/>
      <w:bookmarkStart w:id="1100" w:name="Tc_x7KJZp6W5UqKTdkZKy-Twg_6_2"/>
      <w:bookmarkStart w:id="1101" w:name="Tc_2djPqQW7dkKlMGMWQ1AB0A_6_0"/>
      <w:bookmarkStart w:id="1102" w:name="Tc_O_vw4uFgdke-mBCd1axo2A_5_0"/>
      <w:bookmarkStart w:id="1103" w:name="Tc_8IWlZL-HH0GqTKpwDQDZ0g_4_23"/>
      <w:bookmarkStart w:id="1104" w:name="Tc_pZwGWDxVe0-Uy8roGsuCdg_4_20"/>
      <w:bookmarkStart w:id="1105" w:name="Tc_nGZ0GKnEh06cqTEOVfor0Q_4_17"/>
      <w:bookmarkStart w:id="1106" w:name="Tc_Rp5U0rRtRUCWnDjBH8WwYQ_4_14"/>
      <w:bookmarkStart w:id="1107" w:name="Tc_INfjp23pNUic6vcJzxGWEg_4_11"/>
      <w:bookmarkStart w:id="1108" w:name="Tc_4V8hebQspUGpsXMkgz5oyA_4_8"/>
      <w:bookmarkStart w:id="1109" w:name="Tc_uTPFe8S7i0q9355xZyjAmw_4_5"/>
      <w:bookmarkStart w:id="1110" w:name="Tc_18fTfcDBb0mHiBX2PIxdIA_4_2"/>
      <w:bookmarkStart w:id="1111" w:name="Tc_RRnWwRwAok-52B_xjX9f6Q_3_20"/>
      <w:bookmarkStart w:id="1112" w:name="Tc_I1t6DSzWXUeRwZYbz4q5mw_3_17"/>
      <w:bookmarkStart w:id="1113" w:name="Tc_hqRO_WPOC0GpXWLTkGxLTg_3_14"/>
      <w:bookmarkStart w:id="1114" w:name="Tc_Fd7VnqJMKkeFr8aKpJOTOw_3_11"/>
      <w:bookmarkStart w:id="1115" w:name="Tc_3wiocrWmVkGb6s34NqWRXA_3_8"/>
      <w:bookmarkStart w:id="1116" w:name="Tc_riYqJr0cqkqYPTU6Uu0gaA_3_5"/>
      <w:bookmarkStart w:id="1117" w:name="Tc_SmeyEv9TL0K-RtccLsnDgg_3_2"/>
      <w:bookmarkStart w:id="1118" w:name="Tc_yIYX_reRAEeh2pKuk0R0YA_1_2"/>
      <w:bookmarkStart w:id="1119" w:name="_99974286_72a8_4120_ad71_d08e08be4da1"/>
      <w:bookmarkStart w:id="1120" w:name="Tc_JY9oBrVk-EG-L_-ddZH-aA_15_23"/>
      <w:bookmarkStart w:id="1121" w:name="Tc_zGtcjlSRX0C5Fvo698FDIQ_15_0"/>
      <w:bookmarkStart w:id="1122" w:name="Tc_xGb2Pz2H8E65uKSdyaTISA_14_0"/>
      <w:bookmarkStart w:id="1123" w:name="Tc_j9HGJPWsL02iF0Yb1TA22w_13_0"/>
      <w:bookmarkStart w:id="1124" w:name="Tc_ylvqWkP7-k2LYyNkrmdcvQ_12_0"/>
      <w:bookmarkStart w:id="1125" w:name="Tc_tlngUeTNzk28Y2-yvjOvCQ_11_0"/>
      <w:bookmarkStart w:id="1126" w:name="Tc_NPToP5n0a0CPDROhxWxjdA_10_23"/>
      <w:bookmarkStart w:id="1127" w:name="Tc_jIKwpZjTs0Slfnxuuoptdg_10_20"/>
      <w:bookmarkStart w:id="1128" w:name="Tc_eX-jWddYp0uzRmtCex8sHg_10_17"/>
      <w:bookmarkStart w:id="1129" w:name="Tc_JaLPTTSeeEq4F1ZP6DAMjw_10_14"/>
      <w:bookmarkStart w:id="1130" w:name="Tc_h5f0V4uXJkakn7sFoHIgqA_10_11"/>
      <w:bookmarkStart w:id="1131" w:name="Tc_5rbAKHX-NUuuW66dFYOfvA_10_8"/>
      <w:bookmarkStart w:id="1132" w:name="Tc_AJfljMixkEyQkZGM1P1t3g_10_5"/>
      <w:bookmarkStart w:id="1133" w:name="Tc_439E2a6_Bk-uRX6oPwyZZQ_10_2"/>
      <w:bookmarkStart w:id="1134" w:name="Tc_Gd1iitcjDkGYpS72DippZw_10_0"/>
      <w:bookmarkStart w:id="1135" w:name="Tc_HUsXc0kGfkaWDrBAUC8SIA_9_23"/>
      <w:bookmarkStart w:id="1136" w:name="Tc_xJUVKZh3j0WRhi_Uk4ghTw_9_20"/>
      <w:bookmarkStart w:id="1137" w:name="Tc_Obsb5W5RuUezcVBdJ7pN2A_9_17"/>
      <w:bookmarkStart w:id="1138" w:name="Tc_ITMJPpojakKt-5gnWhR8lw_9_14"/>
      <w:bookmarkStart w:id="1139" w:name="Tc_q8qeHAXIu0OEC4dir4la6g_9_11"/>
      <w:bookmarkStart w:id="1140" w:name="Tc_--kRGhjNiEu3FPM7oo09rQ_9_8"/>
      <w:bookmarkStart w:id="1141" w:name="Tc_TFsgY-Eu3Em6CxowzQUdPQ_9_5"/>
      <w:bookmarkStart w:id="1142" w:name="Tc_AJQggq4FkUiN3dhS3fCIkQ_9_2"/>
      <w:bookmarkStart w:id="1143" w:name="Tc_7pk-RCoIb0eJyVfEr5sUag_9_0"/>
      <w:bookmarkStart w:id="1144" w:name="Tc_mRqz3ga0L06_tW255UOS-Q_8_23"/>
      <w:bookmarkStart w:id="1145" w:name="Tc_QyuP59mSTECch5s1WsnPPg_8_20"/>
      <w:bookmarkStart w:id="1146" w:name="Tc_70CF6d0LQkKBMchhWhEvLg_8_17"/>
      <w:bookmarkStart w:id="1147" w:name="Tc__bvn_xlKn0CWlAt4qcno4A_8_14"/>
      <w:bookmarkStart w:id="1148" w:name="Tc_I1Vlruz0y0KQNKzzHRowFA_8_11"/>
      <w:bookmarkStart w:id="1149" w:name="Tc_qADCE9btBEyo8Zt7LPx3kA_8_8"/>
      <w:bookmarkStart w:id="1150" w:name="Tc_DhqymCJFb0mPSoT5yOKECA_8_5"/>
      <w:bookmarkStart w:id="1151" w:name="Tc_CRM0eOyzfE-NdTi6Y4Q8pw_8_2"/>
      <w:bookmarkStart w:id="1152" w:name="Tc_M-6xa9lXuEaSQ_JwGtFwaw_8_0"/>
      <w:bookmarkStart w:id="1153" w:name="Tc_rtmEjB8-Rk6LXh-zBm0SNg_7_21"/>
      <w:bookmarkStart w:id="1154" w:name="Tc_hQZQReiUpUyaxXJf3jhJGg_7_15"/>
      <w:bookmarkStart w:id="1155" w:name="Tc_YTNEYUovv0C0rMf7ik_ZDA_7_12"/>
      <w:bookmarkStart w:id="1156" w:name="Tc_P1RZ7_gjc0mz1eS_0uMzgg_7_9"/>
      <w:bookmarkStart w:id="1157" w:name="Tc_l91bZ_z060K4oYp_DPtSnQ_7_6"/>
      <w:bookmarkStart w:id="1158" w:name="Tc_BjwZajUNg0mbc-4evC8unQ_7_3"/>
      <w:bookmarkStart w:id="1159" w:name="Tc_h9fgaOZ5bk2uWy_DnDb0Ng_7_0"/>
      <w:bookmarkStart w:id="1160" w:name="Tc_Lci6MpWSXkqe8WHRVBLG7w_6_23"/>
      <w:bookmarkStart w:id="1161" w:name="Tc_KWOj0MH6nkyvs7KYnsaoig_6_20"/>
      <w:bookmarkStart w:id="1162" w:name="Tc_YrIiK8r7UUO1CipbiXnLRg_6_17"/>
      <w:bookmarkStart w:id="1163" w:name="Tc_RVwqA2zi3kGWPXeJ1KcA3A_6_14"/>
      <w:bookmarkStart w:id="1164" w:name="Tc_I_rggLqoZEOMhKhFM0RVsA_6_11"/>
      <w:bookmarkStart w:id="1165" w:name="Tc_C-8QmTfNZUCqYu0IZbFUYw_6_8"/>
      <w:bookmarkStart w:id="1166" w:name="Tc_IpJU1kgDfUKE3hbr-Et7OQ_6_5"/>
      <w:bookmarkStart w:id="1167" w:name="Tc_vIkGPkGQc0K7iTdNEbw3TQ_6_2"/>
      <w:bookmarkStart w:id="1168" w:name="Tc_KlH7msmSWUCk1e6jtL9-zw_6_0"/>
      <w:bookmarkStart w:id="1169" w:name="Tc_cF54Kjktp0qzZq9rjVegGw_5_0"/>
      <w:bookmarkStart w:id="1170" w:name="Tc_fWnxX8qRMU6IVarcoPoQsg_4_23"/>
      <w:bookmarkStart w:id="1171" w:name="Tc_m_ixw7nK5E2G8_mMV2v6mQ_4_20"/>
      <w:bookmarkStart w:id="1172" w:name="Tc_VxtY41kfrESu9N1whl2BPA_4_17"/>
      <w:bookmarkStart w:id="1173" w:name="Tc_i9nsprt6ykaTSCRni55lsA_4_14"/>
      <w:bookmarkStart w:id="1174" w:name="Tc_HMn7V7f96Ey0u5THXLfncw_4_11"/>
      <w:bookmarkStart w:id="1175" w:name="Tc_h5_-6fMCcka-8Q9KyqWTEQ_4_8"/>
      <w:bookmarkStart w:id="1176" w:name="Tc_gG_FQ6UNDEaWW-wQk_04iQ_4_5"/>
      <w:bookmarkStart w:id="1177" w:name="Tc_YsqMNgjFnkePNOMXCkUNRw_4_2"/>
      <w:bookmarkStart w:id="1178" w:name="Tc_2O_ncuc_6Um7OpOZyTjYJQ_3_20"/>
      <w:bookmarkStart w:id="1179" w:name="Tc_2F6c6rcIpEu6Dh_PNA4jJQ_3_17"/>
      <w:bookmarkStart w:id="1180" w:name="Tc_3nws5NhCEE6vIl-XExoDww_3_14"/>
      <w:bookmarkStart w:id="1181" w:name="Tc_PS9XmJ896U2sRN36FYO5iw_3_11"/>
      <w:bookmarkStart w:id="1182" w:name="Tc_EU088gZ-eE-SP4nx5oUwsg_3_8"/>
      <w:bookmarkStart w:id="1183" w:name="Tc_vuX8uhnrzUSDnULMeqGILg_3_5"/>
      <w:bookmarkStart w:id="1184" w:name="Tc_IamW40kSjkmDl5VNS45vLw_3_2"/>
      <w:bookmarkStart w:id="1185" w:name="Tc_zXCjQFc0mUeQMgkClr3JBQ_1_2"/>
      <w:bookmarkStart w:id="1186" w:name="_9014e279_b5a3_4550_bbdb_86967b23ecc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r>
        <w:rPr>
          <w:rFonts w:ascii="Times New Roman;Times;serif" w:hAnsi="Times New Roman;Times;serif"/>
          <w:sz w:val="20"/>
        </w:rPr>
        <w:t>Supplemental information about our business segments is summarized below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02"/>
        <w:gridCol w:w="206"/>
        <w:gridCol w:w="199"/>
        <w:gridCol w:w="702"/>
        <w:gridCol w:w="206"/>
        <w:gridCol w:w="214"/>
        <w:gridCol w:w="657"/>
        <w:gridCol w:w="206"/>
        <w:gridCol w:w="209"/>
        <w:gridCol w:w="737"/>
        <w:gridCol w:w="206"/>
        <w:gridCol w:w="203"/>
        <w:gridCol w:w="623"/>
        <w:gridCol w:w="206"/>
        <w:gridCol w:w="196"/>
        <w:gridCol w:w="691"/>
        <w:gridCol w:w="206"/>
        <w:gridCol w:w="201"/>
        <w:gridCol w:w="710"/>
        <w:gridCol w:w="206"/>
        <w:gridCol w:w="196"/>
        <w:gridCol w:w="601"/>
        <w:gridCol w:w="206"/>
        <w:gridCol w:w="196"/>
        <w:gridCol w:w="920"/>
      </w:tblGrid>
      <w:tr>
        <w:trPr/>
        <w:tc>
          <w:tcPr>
            <w:tcW w:w="1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826770" cy="175260"/>
                      <wp:effectExtent l="0" t="0" r="0" b="0"/>
                      <wp:wrapNone/>
                      <wp:docPr id="282" name="Frame282"/>
                      <a:graphic xmlns:a="http://schemas.openxmlformats.org/drawingml/2006/main">
                        <a:graphicData uri="http://schemas.microsoft.com/office/word/2010/wordprocessingShape">
                          <wps:wsp>
                            <wps:cNvSpPr txBox="1"/>
                            <wps:spPr>
                              <a:xfrm>
                                <a:off x="0" y="0"/>
                                <a:ext cx="826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0810" cy="175260"/>
                      <wp:effectExtent l="0" t="0" r="0" b="0"/>
                      <wp:wrapNone/>
                      <wp:docPr id="283" name="Frame28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6365" cy="175260"/>
                      <wp:effectExtent l="0" t="0" r="0" b="0"/>
                      <wp:wrapNone/>
                      <wp:docPr id="284" name="Frame284"/>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45770" cy="175260"/>
                      <wp:effectExtent l="0" t="0" r="0" b="0"/>
                      <wp:wrapNone/>
                      <wp:docPr id="285" name="Frame285"/>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0810" cy="175260"/>
                      <wp:effectExtent l="0" t="0" r="0" b="0"/>
                      <wp:wrapNone/>
                      <wp:docPr id="286" name="Frame28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5890" cy="175260"/>
                      <wp:effectExtent l="0" t="0" r="0" b="0"/>
                      <wp:wrapNone/>
                      <wp:docPr id="287" name="Frame28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17195" cy="175260"/>
                      <wp:effectExtent l="0" t="0" r="0" b="0"/>
                      <wp:wrapNone/>
                      <wp:docPr id="288" name="Frame288"/>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0810" cy="175260"/>
                      <wp:effectExtent l="0" t="0" r="0" b="0"/>
                      <wp:wrapNone/>
                      <wp:docPr id="289" name="Frame28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2715" cy="175260"/>
                      <wp:effectExtent l="0" t="0" r="0" b="0"/>
                      <wp:wrapNone/>
                      <wp:docPr id="290" name="Frame29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67995" cy="175260"/>
                      <wp:effectExtent l="0" t="0" r="0" b="0"/>
                      <wp:wrapNone/>
                      <wp:docPr id="291" name="Frame291"/>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0810" cy="175260"/>
                      <wp:effectExtent l="0" t="0" r="0" b="0"/>
                      <wp:wrapNone/>
                      <wp:docPr id="292" name="Frame29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8905" cy="175260"/>
                      <wp:effectExtent l="0" t="0" r="0" b="0"/>
                      <wp:wrapNone/>
                      <wp:docPr id="293" name="Frame293"/>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95605" cy="175260"/>
                      <wp:effectExtent l="0" t="0" r="0" b="0"/>
                      <wp:wrapNone/>
                      <wp:docPr id="294" name="Frame294"/>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0810" cy="175260"/>
                      <wp:effectExtent l="0" t="0" r="0" b="0"/>
                      <wp:wrapNone/>
                      <wp:docPr id="295" name="Frame29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4460" cy="175260"/>
                      <wp:effectExtent l="0" t="0" r="0" b="0"/>
                      <wp:wrapNone/>
                      <wp:docPr id="296" name="Frame2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38785" cy="175260"/>
                      <wp:effectExtent l="0" t="0" r="0" b="0"/>
                      <wp:wrapNone/>
                      <wp:docPr id="297" name="Frame2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0810" cy="175260"/>
                      <wp:effectExtent l="0" t="0" r="0" b="0"/>
                      <wp:wrapNone/>
                      <wp:docPr id="298" name="Frame29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27635" cy="175260"/>
                      <wp:effectExtent l="0" t="0" r="0" b="0"/>
                      <wp:wrapNone/>
                      <wp:docPr id="299" name="Frame29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50850" cy="175260"/>
                      <wp:effectExtent l="0" t="0" r="0" b="0"/>
                      <wp:wrapNone/>
                      <wp:docPr id="300" name="Frame300"/>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0810" cy="175260"/>
                      <wp:effectExtent l="0" t="0" r="0" b="0"/>
                      <wp:wrapNone/>
                      <wp:docPr id="301" name="Frame30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24460" cy="175260"/>
                      <wp:effectExtent l="0" t="0" r="0" b="0"/>
                      <wp:wrapNone/>
                      <wp:docPr id="302" name="Frame3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81635" cy="175260"/>
                      <wp:effectExtent l="0" t="0" r="0" b="0"/>
                      <wp:wrapNone/>
                      <wp:docPr id="303" name="Frame3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0810" cy="175260"/>
                      <wp:effectExtent l="0" t="0" r="0" b="0"/>
                      <wp:wrapNone/>
                      <wp:docPr id="304" name="Frame30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4460" cy="175260"/>
                      <wp:effectExtent l="0" t="0" r="0" b="0"/>
                      <wp:wrapNone/>
                      <wp:docPr id="305"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84200" cy="175260"/>
                      <wp:effectExtent l="0" t="0" r="0" b="0"/>
                      <wp:wrapNone/>
                      <wp:docPr id="306" name="Frame306"/>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697"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13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center"/>
              <w:rPr/>
            </w:pPr>
            <w:r>
              <w:rPr/>
              <w:t>​</w:t>
            </w:r>
          </w:p>
        </w:tc>
        <w:tc>
          <w:tcPr>
            <w:tcW w:w="70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center"/>
              <w:rPr/>
            </w:pPr>
            <w:r>
              <w:rPr/>
              <w:t>​</w:t>
            </w:r>
          </w:p>
        </w:tc>
        <w:tc>
          <w:tcPr>
            <w:tcW w:w="6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center"/>
              <w:rPr/>
            </w:pPr>
            <w:r>
              <w:rPr/>
              <w:t>​</w:t>
            </w:r>
          </w:p>
        </w:tc>
        <w:tc>
          <w:tcPr>
            <w:tcW w:w="62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20" w:type="dxa"/>
            <w:tcBorders/>
            <w:vAlign w:val="center"/>
          </w:tcPr>
          <w:p>
            <w:pPr>
              <w:pStyle w:val="TableContents"/>
              <w:bidi w:val="0"/>
              <w:spacing w:before="0" w:after="0"/>
              <w:ind w:left="0" w:right="0" w:hanging="0"/>
              <w:jc w:val="center"/>
              <w:rPr/>
            </w:pPr>
            <w:r>
              <w:rPr/>
              <w:t>​</w:t>
            </w:r>
          </w:p>
        </w:tc>
      </w:tr>
      <w:tr>
        <w:trPr/>
        <w:tc>
          <w:tcPr>
            <w:tcW w:w="13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Gulf Coast</w:t>
            </w:r>
          </w:p>
        </w:tc>
        <w:tc>
          <w:tcPr>
            <w:tcW w:w="20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Midwest</w:t>
            </w:r>
          </w:p>
        </w:tc>
        <w:tc>
          <w:tcPr>
            <w:tcW w:w="20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Brownsville</w:t>
            </w:r>
          </w:p>
        </w:tc>
        <w:tc>
          <w:tcPr>
            <w:tcW w:w="20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River</w:t>
            </w:r>
          </w:p>
        </w:tc>
        <w:tc>
          <w:tcPr>
            <w:tcW w:w="20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Southeast</w:t>
            </w:r>
          </w:p>
        </w:tc>
        <w:tc>
          <w:tcPr>
            <w:tcW w:w="206" w:type="dxa"/>
            <w:tcBorders/>
            <w:vAlign w:val="center"/>
          </w:tcPr>
          <w:p>
            <w:pPr>
              <w:pStyle w:val="TableContents"/>
              <w:bidi w:val="0"/>
              <w:spacing w:before="0" w:after="0"/>
              <w:ind w:left="0" w:right="0" w:hanging="0"/>
              <w:jc w:val="center"/>
              <w:rPr/>
            </w:pPr>
            <w:r>
              <w:rPr/>
              <w:t>​</w:t>
            </w:r>
          </w:p>
        </w:tc>
        <w:tc>
          <w:tcPr>
            <w:tcW w:w="9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West Coast</w:t>
            </w:r>
          </w:p>
        </w:tc>
        <w:tc>
          <w:tcPr>
            <w:tcW w:w="206"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Central</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center"/>
              <w:rPr/>
            </w:pPr>
            <w:r>
              <w:rPr/>
              <w:t>​</w:t>
            </w:r>
          </w:p>
        </w:tc>
      </w:tr>
      <w:tr>
        <w:trPr/>
        <w:tc>
          <w:tcPr>
            <w:tcW w:w="13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 </w:t>
            </w:r>
          </w:p>
        </w:tc>
        <w:tc>
          <w:tcPr>
            <w:tcW w:w="20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9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206" w:type="dxa"/>
            <w:tcBorders/>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20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w:t>
            </w:r>
          </w:p>
        </w:tc>
      </w:tr>
      <w:tr>
        <w:trPr/>
        <w:tc>
          <w:tcPr>
            <w:tcW w:w="13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Terminal revenue</w:t>
            </w:r>
          </w:p>
        </w:tc>
        <w:tc>
          <w:tcPr>
            <w:tcW w:w="20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23,146</w:t>
            </w:r>
          </w:p>
        </w:tc>
        <w:tc>
          <w:tcPr>
            <w:tcW w:w="20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2,849</w:t>
            </w:r>
          </w:p>
        </w:tc>
        <w:tc>
          <w:tcPr>
            <w:tcW w:w="20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5,344</w:t>
            </w:r>
          </w:p>
        </w:tc>
        <w:tc>
          <w:tcPr>
            <w:tcW w:w="20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4,257</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18,093</w:t>
            </w:r>
          </w:p>
        </w:tc>
        <w:tc>
          <w:tcPr>
            <w:tcW w:w="20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25,374</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80,148</w:t>
            </w:r>
          </w:p>
        </w:tc>
      </w:tr>
      <w:tr>
        <w:trPr/>
        <w:tc>
          <w:tcPr>
            <w:tcW w:w="13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sales</w:t>
            </w:r>
          </w:p>
        </w:tc>
        <w:tc>
          <w:tcPr>
            <w:tcW w:w="20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83,852</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83,852</w:t>
            </w:r>
          </w:p>
        </w:tc>
      </w:tr>
      <w:tr>
        <w:trPr/>
        <w:tc>
          <w:tcPr>
            <w:tcW w:w="13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20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23,146</w:t>
            </w:r>
          </w:p>
        </w:tc>
        <w:tc>
          <w:tcPr>
            <w:tcW w:w="20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2,849</w:t>
            </w:r>
          </w:p>
        </w:tc>
        <w:tc>
          <w:tcPr>
            <w:tcW w:w="20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5,344</w:t>
            </w:r>
          </w:p>
        </w:tc>
        <w:tc>
          <w:tcPr>
            <w:tcW w:w="206"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4,257</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18,093</w:t>
            </w:r>
          </w:p>
        </w:tc>
        <w:tc>
          <w:tcPr>
            <w:tcW w:w="20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109,226</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164,000</w:t>
            </w:r>
          </w:p>
        </w:tc>
      </w:tr>
      <w:tr>
        <w:trPr/>
        <w:tc>
          <w:tcPr>
            <w:tcW w:w="13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20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5,136</w:t>
            </w:r>
          </w:p>
        </w:tc>
        <w:tc>
          <w:tcPr>
            <w:tcW w:w="20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w:t>
            </w:r>
          </w:p>
        </w:tc>
        <w:tc>
          <w:tcPr>
            <w:tcW w:w="20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20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2,261</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1,905</w:t>
            </w:r>
          </w:p>
        </w:tc>
        <w:tc>
          <w:tcPr>
            <w:tcW w:w="20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3,951</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14,278</w:t>
            </w:r>
          </w:p>
        </w:tc>
      </w:tr>
      <w:tr>
        <w:trPr/>
        <w:tc>
          <w:tcPr>
            <w:tcW w:w="13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Identifiable assets</w:t>
            </w:r>
          </w:p>
        </w:tc>
        <w:tc>
          <w:tcPr>
            <w:tcW w:w="20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157,705</w:t>
            </w:r>
          </w:p>
        </w:tc>
        <w:tc>
          <w:tcPr>
            <w:tcW w:w="20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12,369</w:t>
            </w:r>
          </w:p>
        </w:tc>
        <w:tc>
          <w:tcPr>
            <w:tcW w:w="20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100,355</w:t>
            </w:r>
          </w:p>
        </w:tc>
        <w:tc>
          <w:tcPr>
            <w:tcW w:w="206"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43,053</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205,695</w:t>
            </w:r>
          </w:p>
        </w:tc>
        <w:tc>
          <w:tcPr>
            <w:tcW w:w="20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427,866</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10,722</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957,765</w:t>
            </w:r>
          </w:p>
        </w:tc>
      </w:tr>
      <w:tr>
        <w:trPr/>
        <w:tc>
          <w:tcPr>
            <w:tcW w:w="3692" w:type="dxa"/>
            <w:gridSpan w:val="8"/>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2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53,598</w:t>
            </w:r>
          </w:p>
        </w:tc>
      </w:tr>
      <w:tr>
        <w:trPr/>
        <w:tc>
          <w:tcPr>
            <w:tcW w:w="3486" w:type="dxa"/>
            <w:gridSpan w:val="7"/>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 in unconsolidated affiliates</w:t>
            </w:r>
          </w:p>
        </w:tc>
        <w:tc>
          <w:tcPr>
            <w:tcW w:w="20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311,419</w:t>
            </w:r>
          </w:p>
        </w:tc>
      </w:tr>
      <w:tr>
        <w:trPr/>
        <w:tc>
          <w:tcPr>
            <w:tcW w:w="3486" w:type="dxa"/>
            <w:gridSpan w:val="7"/>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interest rate swap agreements</w:t>
            </w:r>
          </w:p>
        </w:tc>
        <w:tc>
          <w:tcPr>
            <w:tcW w:w="20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1,977</w:t>
            </w:r>
          </w:p>
        </w:tc>
      </w:tr>
      <w:tr>
        <w:trPr/>
        <w:tc>
          <w:tcPr>
            <w:tcW w:w="13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20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5,736</w:t>
            </w:r>
          </w:p>
        </w:tc>
      </w:tr>
      <w:tr>
        <w:trPr/>
        <w:tc>
          <w:tcPr>
            <w:tcW w:w="13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20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1,330,495</w:t>
            </w:r>
          </w:p>
        </w:tc>
      </w:tr>
    </w:tbl>
    <w:p>
      <w:pPr>
        <w:pStyle w:val="TextBody"/>
        <w:bidi w:val="0"/>
        <w:spacing w:before="0" w:after="0"/>
        <w:ind w:left="0" w:right="0" w:hanging="0"/>
        <w:jc w:val="left"/>
        <w:rPr/>
      </w:pPr>
      <w:r>
        <w:rPr/>
        <w:t>​</w:t>
      </w:r>
    </w:p>
    <w:tbl>
      <w:tblPr>
        <w:tblW w:w="10118" w:type="dxa"/>
        <w:jc w:val="left"/>
        <w:tblInd w:w="0" w:type="dxa"/>
        <w:tblLayout w:type="fixed"/>
        <w:tblCellMar>
          <w:top w:w="0" w:type="dxa"/>
          <w:left w:w="0" w:type="dxa"/>
          <w:bottom w:w="0" w:type="dxa"/>
          <w:right w:w="0" w:type="dxa"/>
        </w:tblCellMar>
      </w:tblPr>
      <w:tblGrid>
        <w:gridCol w:w="1531"/>
        <w:gridCol w:w="206"/>
        <w:gridCol w:w="221"/>
        <w:gridCol w:w="680"/>
        <w:gridCol w:w="206"/>
        <w:gridCol w:w="241"/>
        <w:gridCol w:w="630"/>
        <w:gridCol w:w="206"/>
        <w:gridCol w:w="262"/>
        <w:gridCol w:w="684"/>
        <w:gridCol w:w="206"/>
        <w:gridCol w:w="228"/>
        <w:gridCol w:w="598"/>
        <w:gridCol w:w="206"/>
        <w:gridCol w:w="202"/>
        <w:gridCol w:w="624"/>
        <w:gridCol w:w="206"/>
        <w:gridCol w:w="205"/>
        <w:gridCol w:w="725"/>
        <w:gridCol w:w="206"/>
        <w:gridCol w:w="196"/>
        <w:gridCol w:w="511"/>
        <w:gridCol w:w="206"/>
        <w:gridCol w:w="196"/>
        <w:gridCol w:w="73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972185" cy="175260"/>
                      <wp:effectExtent l="0" t="0" r="0" b="0"/>
                      <wp:wrapNone/>
                      <wp:docPr id="307" name="Frame307"/>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0810" cy="175260"/>
                      <wp:effectExtent l="0" t="0" r="0" b="0"/>
                      <wp:wrapNone/>
                      <wp:docPr id="308" name="Frame30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40335" cy="175260"/>
                      <wp:effectExtent l="0" t="0" r="0" b="0"/>
                      <wp:wrapNone/>
                      <wp:docPr id="309" name="Frame30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31800" cy="175260"/>
                      <wp:effectExtent l="0" t="0" r="0" b="0"/>
                      <wp:wrapNone/>
                      <wp:docPr id="310" name="Frame310"/>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0810" cy="175260"/>
                      <wp:effectExtent l="0" t="0" r="0" b="0"/>
                      <wp:wrapNone/>
                      <wp:docPr id="311" name="Frame31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53035" cy="175260"/>
                      <wp:effectExtent l="0" t="0" r="0" b="0"/>
                      <wp:wrapNone/>
                      <wp:docPr id="312" name="Frame31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00050" cy="175260"/>
                      <wp:effectExtent l="0" t="0" r="0" b="0"/>
                      <wp:wrapNone/>
                      <wp:docPr id="313" name="Frame313"/>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0810" cy="175260"/>
                      <wp:effectExtent l="0" t="0" r="0" b="0"/>
                      <wp:wrapNone/>
                      <wp:docPr id="314" name="Frame31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66370" cy="175260"/>
                      <wp:effectExtent l="0" t="0" r="0" b="0"/>
                      <wp:wrapNone/>
                      <wp:docPr id="315" name="Frame315"/>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34340" cy="175260"/>
                      <wp:effectExtent l="0" t="0" r="0" b="0"/>
                      <wp:wrapNone/>
                      <wp:docPr id="316" name="Frame31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0810" cy="175260"/>
                      <wp:effectExtent l="0" t="0" r="0" b="0"/>
                      <wp:wrapNone/>
                      <wp:docPr id="317" name="Frame31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44780" cy="175260"/>
                      <wp:effectExtent l="0" t="0" r="0" b="0"/>
                      <wp:wrapNone/>
                      <wp:docPr id="318" name="Frame31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79730" cy="175260"/>
                      <wp:effectExtent l="0" t="0" r="0" b="0"/>
                      <wp:wrapNone/>
                      <wp:docPr id="319" name="Frame319"/>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0810" cy="175260"/>
                      <wp:effectExtent l="0" t="0" r="0" b="0"/>
                      <wp:wrapNone/>
                      <wp:docPr id="320" name="Frame32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8270" cy="175260"/>
                      <wp:effectExtent l="0" t="0" r="0" b="0"/>
                      <wp:wrapNone/>
                      <wp:docPr id="321" name="Frame321"/>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96240" cy="175260"/>
                      <wp:effectExtent l="0" t="0" r="0" b="0"/>
                      <wp:wrapNone/>
                      <wp:docPr id="322" name="Frame322"/>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0810" cy="175260"/>
                      <wp:effectExtent l="0" t="0" r="0" b="0"/>
                      <wp:wrapNone/>
                      <wp:docPr id="323" name="Frame32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0175" cy="175260"/>
                      <wp:effectExtent l="0" t="0" r="0" b="0"/>
                      <wp:wrapNone/>
                      <wp:docPr id="324" name="Frame324"/>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60375" cy="175260"/>
                      <wp:effectExtent l="0" t="0" r="0" b="0"/>
                      <wp:wrapNone/>
                      <wp:docPr id="325" name="Frame32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0810" cy="175260"/>
                      <wp:effectExtent l="0" t="0" r="0" b="0"/>
                      <wp:wrapNone/>
                      <wp:docPr id="326" name="Frame3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4460" cy="175260"/>
                      <wp:effectExtent l="0" t="0" r="0" b="0"/>
                      <wp:wrapNone/>
                      <wp:docPr id="327" name="Frame3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24485" cy="175260"/>
                      <wp:effectExtent l="0" t="0" r="0" b="0"/>
                      <wp:wrapNone/>
                      <wp:docPr id="328" name="Frame32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0810" cy="175260"/>
                      <wp:effectExtent l="0" t="0" r="0" b="0"/>
                      <wp:wrapNone/>
                      <wp:docPr id="329" name="Frame32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67360" cy="175260"/>
                      <wp:effectExtent l="0" t="0" r="0" b="0"/>
                      <wp:wrapNone/>
                      <wp:docPr id="331" name="Frame3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381"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153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center"/>
              <w:rPr/>
            </w:pPr>
            <w:r>
              <w:rPr/>
              <w:t>​</w:t>
            </w:r>
          </w:p>
        </w:tc>
        <w:tc>
          <w:tcPr>
            <w:tcW w:w="68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59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center"/>
              <w:rPr/>
            </w:pPr>
            <w:r>
              <w:rPr/>
              <w:t>​</w:t>
            </w:r>
          </w:p>
        </w:tc>
        <w:tc>
          <w:tcPr>
            <w:tcW w:w="62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Gulf Coast</w:t>
            </w:r>
          </w:p>
        </w:tc>
        <w:tc>
          <w:tcPr>
            <w:tcW w:w="20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Midwest</w:t>
            </w:r>
          </w:p>
        </w:tc>
        <w:tc>
          <w:tcPr>
            <w:tcW w:w="20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Brownsville</w:t>
            </w:r>
          </w:p>
        </w:tc>
        <w:tc>
          <w:tcPr>
            <w:tcW w:w="20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River</w:t>
            </w:r>
          </w:p>
        </w:tc>
        <w:tc>
          <w:tcPr>
            <w:tcW w:w="20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Southeast</w:t>
            </w:r>
          </w:p>
        </w:tc>
        <w:tc>
          <w:tcPr>
            <w:tcW w:w="206" w:type="dxa"/>
            <w:tcBorders/>
            <w:vAlign w:val="center"/>
          </w:tcPr>
          <w:p>
            <w:pPr>
              <w:pStyle w:val="TableContents"/>
              <w:bidi w:val="0"/>
              <w:spacing w:before="0" w:after="0"/>
              <w:ind w:left="0" w:right="0" w:hanging="0"/>
              <w:jc w:val="center"/>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West Coast</w:t>
            </w:r>
          </w:p>
        </w:tc>
        <w:tc>
          <w:tcPr>
            <w:tcW w:w="206" w:type="dxa"/>
            <w:tcBorders/>
            <w:vAlign w:val="center"/>
          </w:tcPr>
          <w:p>
            <w:pPr>
              <w:pStyle w:val="TableContents"/>
              <w:bidi w:val="0"/>
              <w:spacing w:before="0" w:after="0"/>
              <w:ind w:left="0" w:right="0" w:hanging="0"/>
              <w:jc w:val="center"/>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Central</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 </w:t>
            </w:r>
          </w:p>
        </w:tc>
        <w:tc>
          <w:tcPr>
            <w:tcW w:w="20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20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20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20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Terminal revenue</w:t>
            </w:r>
          </w:p>
        </w:tc>
        <w:tc>
          <w:tcPr>
            <w:tcW w:w="20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22,083</w:t>
            </w:r>
          </w:p>
        </w:tc>
        <w:tc>
          <w:tcPr>
            <w:tcW w:w="20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2,779</w:t>
            </w:r>
          </w:p>
        </w:tc>
        <w:tc>
          <w:tcPr>
            <w:tcW w:w="20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5,883</w:t>
            </w:r>
          </w:p>
        </w:tc>
        <w:tc>
          <w:tcPr>
            <w:tcW w:w="20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3,759</w:t>
            </w:r>
          </w:p>
        </w:tc>
        <w:tc>
          <w:tcPr>
            <w:tcW w:w="20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18,158</w:t>
            </w:r>
          </w:p>
        </w:tc>
        <w:tc>
          <w:tcPr>
            <w:tcW w:w="20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26,474</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1,819</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80,955</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sales</w:t>
            </w:r>
          </w:p>
        </w:tc>
        <w:tc>
          <w:tcPr>
            <w:tcW w:w="20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109,732</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109,732</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20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22,083</w:t>
            </w:r>
          </w:p>
        </w:tc>
        <w:tc>
          <w:tcPr>
            <w:tcW w:w="20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2,779</w:t>
            </w:r>
          </w:p>
        </w:tc>
        <w:tc>
          <w:tcPr>
            <w:tcW w:w="20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5,883</w:t>
            </w:r>
          </w:p>
        </w:tc>
        <w:tc>
          <w:tcPr>
            <w:tcW w:w="20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3,759</w:t>
            </w:r>
          </w:p>
        </w:tc>
        <w:tc>
          <w:tcPr>
            <w:tcW w:w="20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18,158</w:t>
            </w:r>
          </w:p>
        </w:tc>
        <w:tc>
          <w:tcPr>
            <w:tcW w:w="206"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136,206</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1,819</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190,687</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20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4,473</w:t>
            </w:r>
          </w:p>
        </w:tc>
        <w:tc>
          <w:tcPr>
            <w:tcW w:w="20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20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20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c>
          <w:tcPr>
            <w:tcW w:w="206" w:type="dxa"/>
            <w:tcBorders/>
            <w:shd w:fill="CCEE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4,798</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14,810</w:t>
            </w:r>
          </w:p>
        </w:tc>
      </w:tr>
    </w:tbl>
    <w:p>
      <w:pPr>
        <w:pStyle w:val="TextBody"/>
        <w:bidi w:val="0"/>
        <w:spacing w:before="0" w:after="0"/>
        <w:ind w:left="0" w:right="0" w:hanging="0"/>
        <w:jc w:val="left"/>
        <w:rPr/>
      </w:pPr>
      <w:r>
        <w:rPr/>
        <w:t>​</w:t>
      </w:r>
    </w:p>
    <w:tbl>
      <w:tblPr>
        <w:tblW w:w="10510" w:type="dxa"/>
        <w:jc w:val="left"/>
        <w:tblInd w:w="0" w:type="dxa"/>
        <w:tblLayout w:type="fixed"/>
        <w:tblCellMar>
          <w:top w:w="0" w:type="dxa"/>
          <w:left w:w="0" w:type="dxa"/>
          <w:bottom w:w="0" w:type="dxa"/>
          <w:right w:w="0" w:type="dxa"/>
        </w:tblCellMar>
      </w:tblPr>
      <w:tblGrid>
        <w:gridCol w:w="1006"/>
        <w:gridCol w:w="326"/>
        <w:gridCol w:w="221"/>
        <w:gridCol w:w="680"/>
        <w:gridCol w:w="326"/>
        <w:gridCol w:w="241"/>
        <w:gridCol w:w="630"/>
        <w:gridCol w:w="326"/>
        <w:gridCol w:w="232"/>
        <w:gridCol w:w="714"/>
        <w:gridCol w:w="326"/>
        <w:gridCol w:w="203"/>
        <w:gridCol w:w="623"/>
        <w:gridCol w:w="326"/>
        <w:gridCol w:w="202"/>
        <w:gridCol w:w="624"/>
        <w:gridCol w:w="326"/>
        <w:gridCol w:w="196"/>
        <w:gridCol w:w="691"/>
        <w:gridCol w:w="326"/>
        <w:gridCol w:w="196"/>
        <w:gridCol w:w="511"/>
        <w:gridCol w:w="326"/>
        <w:gridCol w:w="196"/>
        <w:gridCol w:w="73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38810" cy="175260"/>
                      <wp:effectExtent l="0" t="0" r="0" b="0"/>
                      <wp:wrapNone/>
                      <wp:docPr id="332" name="Frame33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40335" cy="175260"/>
                      <wp:effectExtent l="0" t="0" r="0" b="0"/>
                      <wp:wrapNone/>
                      <wp:docPr id="334" name="Frame33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31800" cy="175260"/>
                      <wp:effectExtent l="0" t="0" r="0" b="0"/>
                      <wp:wrapNone/>
                      <wp:docPr id="335" name="Frame335"/>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53035" cy="175260"/>
                      <wp:effectExtent l="0" t="0" r="0" b="0"/>
                      <wp:wrapNone/>
                      <wp:docPr id="337" name="Frame33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00050" cy="175260"/>
                      <wp:effectExtent l="0" t="0" r="0" b="0"/>
                      <wp:wrapNone/>
                      <wp:docPr id="338" name="Frame338"/>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47320" cy="175260"/>
                      <wp:effectExtent l="0" t="0" r="0" b="0"/>
                      <wp:wrapNone/>
                      <wp:docPr id="340" name="Frame34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53390" cy="175260"/>
                      <wp:effectExtent l="0" t="0" r="0" b="0"/>
                      <wp:wrapNone/>
                      <wp:docPr id="341" name="Frame34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28905" cy="175260"/>
                      <wp:effectExtent l="0" t="0" r="0" b="0"/>
                      <wp:wrapNone/>
                      <wp:docPr id="343" name="Frame343"/>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95605" cy="175260"/>
                      <wp:effectExtent l="0" t="0" r="0" b="0"/>
                      <wp:wrapNone/>
                      <wp:docPr id="344" name="Frame344"/>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8270" cy="175260"/>
                      <wp:effectExtent l="0" t="0" r="0" b="0"/>
                      <wp:wrapNone/>
                      <wp:docPr id="346" name="Frame346"/>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96240" cy="175260"/>
                      <wp:effectExtent l="0" t="0" r="0" b="0"/>
                      <wp:wrapNone/>
                      <wp:docPr id="347" name="Frame347"/>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4460" cy="175260"/>
                      <wp:effectExtent l="0" t="0" r="0" b="0"/>
                      <wp:wrapNone/>
                      <wp:docPr id="349" name="Frame3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38785" cy="175260"/>
                      <wp:effectExtent l="0" t="0" r="0" b="0"/>
                      <wp:wrapNone/>
                      <wp:docPr id="350" name="Frame3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4460" cy="175260"/>
                      <wp:effectExtent l="0" t="0" r="0" b="0"/>
                      <wp:wrapNone/>
                      <wp:docPr id="352" name="Frame3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24485" cy="175260"/>
                      <wp:effectExtent l="0" t="0" r="0" b="0"/>
                      <wp:wrapNone/>
                      <wp:docPr id="353" name="Frame35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4460" cy="175260"/>
                      <wp:effectExtent l="0" t="0" r="0" b="0"/>
                      <wp:wrapNone/>
                      <wp:docPr id="355" name="Frame3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67360" cy="175260"/>
                      <wp:effectExtent l="0" t="0" r="0" b="0"/>
                      <wp:wrapNone/>
                      <wp:docPr id="356" name="Frame35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8"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Gulf Coast</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Midwest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Brownsville</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River</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Southeast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West Coast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Central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 </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Terminal revenue</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67,865</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8,228</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11,900</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13,209</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79,499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238,980</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257,131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257,131</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67,865</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8,228</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11,900</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13,209</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336,630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496,111</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13,304</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1,641</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3,628</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37,033</w:t>
            </w:r>
          </w:p>
        </w:tc>
      </w:tr>
    </w:tbl>
    <w:p>
      <w:pPr>
        <w:pStyle w:val="TextBody"/>
        <w:bidi w:val="0"/>
        <w:spacing w:before="0" w:after="0"/>
        <w:ind w:left="0" w:right="0" w:hanging="0"/>
        <w:jc w:val="left"/>
        <w:rPr/>
      </w:pPr>
      <w:r>
        <w:rPr/>
        <w:t>​</w:t>
      </w:r>
    </w:p>
    <w:tbl>
      <w:tblPr>
        <w:tblW w:w="10510" w:type="dxa"/>
        <w:jc w:val="left"/>
        <w:tblInd w:w="0" w:type="dxa"/>
        <w:tblLayout w:type="fixed"/>
        <w:tblCellMar>
          <w:top w:w="0" w:type="dxa"/>
          <w:left w:w="0" w:type="dxa"/>
          <w:bottom w:w="0" w:type="dxa"/>
          <w:right w:w="0" w:type="dxa"/>
        </w:tblCellMar>
      </w:tblPr>
      <w:tblGrid>
        <w:gridCol w:w="1006"/>
        <w:gridCol w:w="326"/>
        <w:gridCol w:w="221"/>
        <w:gridCol w:w="680"/>
        <w:gridCol w:w="326"/>
        <w:gridCol w:w="241"/>
        <w:gridCol w:w="630"/>
        <w:gridCol w:w="326"/>
        <w:gridCol w:w="232"/>
        <w:gridCol w:w="714"/>
        <w:gridCol w:w="326"/>
        <w:gridCol w:w="203"/>
        <w:gridCol w:w="623"/>
        <w:gridCol w:w="326"/>
        <w:gridCol w:w="202"/>
        <w:gridCol w:w="624"/>
        <w:gridCol w:w="326"/>
        <w:gridCol w:w="196"/>
        <w:gridCol w:w="691"/>
        <w:gridCol w:w="326"/>
        <w:gridCol w:w="196"/>
        <w:gridCol w:w="511"/>
        <w:gridCol w:w="326"/>
        <w:gridCol w:w="196"/>
        <w:gridCol w:w="73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38810" cy="175260"/>
                      <wp:effectExtent l="0" t="0" r="0" b="0"/>
                      <wp:wrapNone/>
                      <wp:docPr id="357" name="Frame35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40335" cy="175260"/>
                      <wp:effectExtent l="0" t="0" r="0" b="0"/>
                      <wp:wrapNone/>
                      <wp:docPr id="359" name="Frame35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31800" cy="175260"/>
                      <wp:effectExtent l="0" t="0" r="0" b="0"/>
                      <wp:wrapNone/>
                      <wp:docPr id="360" name="Frame360"/>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53035" cy="175260"/>
                      <wp:effectExtent l="0" t="0" r="0" b="0"/>
                      <wp:wrapNone/>
                      <wp:docPr id="362" name="Frame36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00050" cy="175260"/>
                      <wp:effectExtent l="0" t="0" r="0" b="0"/>
                      <wp:wrapNone/>
                      <wp:docPr id="363" name="Frame363"/>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7320" cy="175260"/>
                      <wp:effectExtent l="0" t="0" r="0" b="0"/>
                      <wp:wrapNone/>
                      <wp:docPr id="365" name="Frame36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53390" cy="175260"/>
                      <wp:effectExtent l="0" t="0" r="0" b="0"/>
                      <wp:wrapNone/>
                      <wp:docPr id="366" name="Frame366"/>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28905" cy="175260"/>
                      <wp:effectExtent l="0" t="0" r="0" b="0"/>
                      <wp:wrapNone/>
                      <wp:docPr id="368" name="Frame368"/>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95605" cy="175260"/>
                      <wp:effectExtent l="0" t="0" r="0" b="0"/>
                      <wp:wrapNone/>
                      <wp:docPr id="369" name="Frame369"/>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8270" cy="175260"/>
                      <wp:effectExtent l="0" t="0" r="0" b="0"/>
                      <wp:wrapNone/>
                      <wp:docPr id="371" name="Frame371"/>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96240" cy="175260"/>
                      <wp:effectExtent l="0" t="0" r="0" b="0"/>
                      <wp:wrapNone/>
                      <wp:docPr id="372" name="Frame372"/>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24460" cy="175260"/>
                      <wp:effectExtent l="0" t="0" r="0" b="0"/>
                      <wp:wrapNone/>
                      <wp:docPr id="374" name="Frame3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38785" cy="175260"/>
                      <wp:effectExtent l="0" t="0" r="0" b="0"/>
                      <wp:wrapNone/>
                      <wp:docPr id="375" name="Frame3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24460" cy="175260"/>
                      <wp:effectExtent l="0" t="0" r="0" b="0"/>
                      <wp:wrapNone/>
                      <wp:docPr id="377" name="Frame3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24485" cy="175260"/>
                      <wp:effectExtent l="0" t="0" r="0" b="0"/>
                      <wp:wrapNone/>
                      <wp:docPr id="378" name="Frame37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24460" cy="175260"/>
                      <wp:effectExtent l="0" t="0" r="0" b="0"/>
                      <wp:wrapNone/>
                      <wp:docPr id="380" name="Frame3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67360" cy="175260"/>
                      <wp:effectExtent l="0" t="0" r="0" b="0"/>
                      <wp:wrapNone/>
                      <wp:docPr id="381" name="Frame38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8"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Gulf Coast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Midwest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Brownsville</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River</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Southeast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West Coast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Central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 </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Terminals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Terminal revenue</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66,228</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8,465</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18,234</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11,058</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242,400</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290,568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290,568</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66,228</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8,465</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18,234</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11,058</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366,986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532,968</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11,711</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2,635</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44,500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TransMontaigne Partners LLC and Subsidiaries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Notes to consolidated financial statements (unaudited)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SUBSEQUENT EVENT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 xml:space="preserve">On October 8, 2025, the Company completed the sale of our terminal facility land on Fisher Island, Miami, Florida to HRP Fisher Island, LLC, for a purchase price of $180 million. The Fisher Island terminal facility land has been recorded as assets held for sale (see Note 5 of Notes to consolidated financial statements). </w:t>
      </w:r>
    </w:p>
    <w:p>
      <w:pPr>
        <w:pStyle w:val="TextBody"/>
        <w:bidi w:val="0"/>
        <w:spacing w:before="0" w:after="0"/>
        <w:ind w:left="0" w:right="0" w:hanging="0"/>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On October 9, 2025, the Company, as parent guarantor, and TransMontaigne Operating Company L.P., our wholly owned subsidiary, made a $170 million prepayment on our senior secured term loans with the proceeds from the sale of the Fisher Island terminal facility.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87" w:name="ITEM2MANAGEMENTSDISCUSSION_380437"/>
      <w:bookmarkStart w:id="1188" w:name="_054de418_c199_452c_97cd_f621d3bda6ab"/>
      <w:bookmarkEnd w:id="1187"/>
      <w:bookmarkEnd w:id="1188"/>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Fisher Island terminal facility sale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October 8, 2025, the Company completed the sale of our terminal facility land on Fisher Island, Miami, Florida to HRP Fisher Island, LLC, for a purchase price of $180 million. The Fisher Island terminal facility has active capacity of approximately 700,000 barrels for the storage of marine fuels.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Effective as of closing, we retained all assets and liabilities associated with the maintenance and operations of the Fisher Island terminal facility, excluding land, and leased the terminal facility from the buyer to allow us to continue our existing operations servicing our current customer agreements through August 2027. The Fisher Island terminal facility land has been recorded as assets held for sale (see Note 5 of Notes to consolidated financial statements).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9, 2025, the Company, as parent guarantor, and TransMontaigne Operating Company L.P., our wholly owned subsidiary, made a $170 million prepayment on our senior secured term loans with the proceeds from the sale of the Fisher Island terminal facility.</w:t>
      </w:r>
    </w:p>
    <w:p>
      <w:pPr>
        <w:pStyle w:val="TextBody"/>
        <w:bidi w:val="0"/>
        <w:spacing w:lineRule="auto" w:line="307"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w:t>
      </w:r>
    </w:p>
    <w:p>
      <w:pPr>
        <w:pStyle w:val="TextBody"/>
        <w:bidi w:val="0"/>
        <w:spacing w:lineRule="auto" w:line="307"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September 2, 2025, Randal T. Maffett retired from his position as Chief Executive Officer of TransMontaigne Partners LLC and its wholly owned and controlled operating subsidiaries. Effective upon his retirement as Chief Executive Officer, Mr. Maffett joined the Board of Managers (the Board) of an indirect parent of the Company.</w:t>
      </w:r>
    </w:p>
    <w:p>
      <w:pPr>
        <w:pStyle w:val="TextBody"/>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Effective September 2, 2025, an indirect parent of the Company appointed Jesse Arenivas as Chief Executive Officer (“CEO”) of the Company and its wholly owned and controlled operating subsidiaries and a member of the Board. Mr. Arenivas served as CEO of EnLink Midstream LLC (“EnLink”) from 2022 to 2025. Prior to EnLink, Mr. Arenivas served in several executive roles with Kinder Morgan, Inc. (“KMI”) including President of KMI’s Energy Transition Ventures team and Vice President (President, CO2 segment). Before joining KMI in 2003, Mr. Arenivas spent five years at ConocoPhillips Co. in financial and commercial roles. Mr. Arenivas received a Bachelor of Business Administration in finance from the University of Texas Permian Basin and is a licensed Certified Public Accountant.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the significant accounting policies that we have adopted and followed in the preparation of our consolidated financial statements is detailed in Note 1 of Notes to consolidated financial statements as of September 30, 2025 and December 31, 2024 and for the three and nine months ended September 30, 2025 and 2024. Certain of these accounting policies require the use of estimates. In management’s opinion, the estimate of useful lives of our plant and equipment are subjective in nature, require the exercise of judgment and involve complex analyses. These estimates are based on our knowledge and understanding of current conditions and actions we may take in the future. Changes in these estimates will occur as a result of the passage of time and the occurrence of future events. Subsequent changes in these estimates may have a significant impact on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OPERATIONS—THREE MONTHS ENDED SEPTEMBER 30, 2025 AND 2024</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operate our business and report our results of operations in seven principal business segments: (i) Gulf Coast terminals, (ii) Midwest terminals, (iii) Brownsville terminals including management of Frontera, (iv) River terminals, (v) Southeast terminals, (vi) West Coast terminals and (vii) Central services. Our Central services segment primarily represents the costs of employees performing operating oversight functions, engineering, health, safety and environmental services to our terminals and terminals that we operate. In addition, Central services represent the cost of employees at standalone affiliate terminals that we operate or manage. We receive a fee from these affiliates based on our costs incurred.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and analysis of the results of operations and financial condition should be read in conjunction with the accompanying unaudited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ANALYSIS OF TERMINAL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Terminal revenue.</w:t>
      </w:r>
      <w:r>
        <w:rPr>
          <w:rFonts w:ascii="Times New Roman;Times;serif" w:hAnsi="Times New Roman;Times;serif"/>
          <w:sz w:val="20"/>
        </w:rPr>
        <w:t xml:space="preserve"> We derive terminal revenue from our terminal operations by charging fees for providing integrated terminaling, transportation and related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terminal revenue by category was as follows (in thousands):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Terminal Revenue by Category</w:t>
      </w:r>
    </w:p>
    <w:tbl>
      <w:tblPr>
        <w:tblW w:w="4502" w:type="dxa"/>
        <w:jc w:val="left"/>
        <w:tblInd w:w="0" w:type="dxa"/>
        <w:tblLayout w:type="fixed"/>
        <w:tblCellMar>
          <w:top w:w="0" w:type="dxa"/>
          <w:left w:w="0" w:type="dxa"/>
          <w:bottom w:w="0" w:type="dxa"/>
          <w:right w:w="0" w:type="dxa"/>
        </w:tblCellMar>
      </w:tblPr>
      <w:tblGrid>
        <w:gridCol w:w="2176"/>
        <w:gridCol w:w="326"/>
        <w:gridCol w:w="211"/>
        <w:gridCol w:w="676"/>
        <w:gridCol w:w="109"/>
        <w:gridCol w:w="211"/>
        <w:gridCol w:w="793"/>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81760" cy="175260"/>
                      <wp:effectExtent l="0" t="0" r="0" b="0"/>
                      <wp:wrapNone/>
                      <wp:docPr id="382" name="Frame38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29260" cy="175260"/>
                      <wp:effectExtent l="0" t="0" r="0" b="0"/>
                      <wp:wrapNone/>
                      <wp:docPr id="385" name="Frame3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03555" cy="175260"/>
                      <wp:effectExtent l="0" t="0" r="0" b="0"/>
                      <wp:wrapNone/>
                      <wp:docPr id="388" name="Frame38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Terminaling services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77,498</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80,955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terminal revenue by business segment is presented and further analyzed below by category of revenue.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Terminal Revenue by Business Segment</w:t>
      </w:r>
    </w:p>
    <w:tbl>
      <w:tblPr>
        <w:tblW w:w="4449" w:type="dxa"/>
        <w:jc w:val="left"/>
        <w:tblInd w:w="0" w:type="dxa"/>
        <w:tblLayout w:type="fixed"/>
        <w:tblCellMar>
          <w:top w:w="0" w:type="dxa"/>
          <w:left w:w="0" w:type="dxa"/>
          <w:bottom w:w="0" w:type="dxa"/>
          <w:right w:w="0" w:type="dxa"/>
        </w:tblCellMar>
      </w:tblPr>
      <w:tblGrid>
        <w:gridCol w:w="1906"/>
        <w:gridCol w:w="326"/>
        <w:gridCol w:w="211"/>
        <w:gridCol w:w="676"/>
        <w:gridCol w:w="326"/>
        <w:gridCol w:w="211"/>
        <w:gridCol w:w="793"/>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210310" cy="175260"/>
                      <wp:effectExtent l="0" t="0" r="0" b="0"/>
                      <wp:wrapNone/>
                      <wp:docPr id="389" name="Frame389"/>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29260" cy="175260"/>
                      <wp:effectExtent l="0" t="0" r="0" b="0"/>
                      <wp:wrapNone/>
                      <wp:docPr id="392" name="Frame3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03555" cy="175260"/>
                      <wp:effectExtent l="0" t="0" r="0" b="0"/>
                      <wp:wrapNone/>
                      <wp:docPr id="395" name="Frame39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Gulf Coast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Midwest terminals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80,955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Terminaling services fees.</w:t>
      </w:r>
      <w:r>
        <w:rPr>
          <w:rFonts w:ascii="Times New Roman;Times;serif" w:hAnsi="Times New Roman;Times;serif"/>
          <w:sz w:val="20"/>
        </w:rPr>
        <w:t xml:space="preserve"> </w:t>
      </w:r>
      <w:r>
        <w:rPr>
          <w:rFonts w:ascii="Times New Roman;Times;serif" w:hAnsi="Times New Roman;Times;serif"/>
          <w:spacing w:val="-2"/>
          <w:sz w:val="20"/>
        </w:rPr>
        <w:t xml:space="preserve">Our terminaling services agreements are structured as either throughput agreements or storage agreements. Our throughput agreements contain provisions that require our customers to make minimum payments, which are based on contractually established minimum volume of throughput of the customer’s product at our facilities over a stipulated period of time. Due to this minimum payment arrangement, we recognize a fixed amount of revenue from the customer over a certain period of time, even if the customer throughputs less than the minimum volume of product during that period. In addition, if a customer throughputs a volume of product exceeding the minimum volume, we would recognize additional revenue on this incremental volume. Our storage agreements require our customers to make minimum payments based on the volume of storage capacity available to the customer under the agreement, which results in a fixed amount of recognized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pacing w:val="-2"/>
          <w:sz w:val="20"/>
        </w:rPr>
        <w:t xml:space="preserve">We refer to the fixed amount of revenue recognized pursuant to our terminaling services agreements as being “firm commitments.” Revenue recognized in excess of firm commitments and revenue recognized based solely on the volume of product distributed or injected are referred to as “ancillary.” In addition, “ancillary” revenue also includes </w:t>
      </w:r>
      <w:r>
        <w:rPr>
          <w:rFonts w:ascii="Times New Roman;Times;serif" w:hAnsi="Times New Roman;Times;serif"/>
          <w:sz w:val="20"/>
        </w:rPr>
        <w:t>fees received from ancillary services including heating and mixing of stored products, product transfer, railcar handling, butane blending, proceeds from the sale of product gains, wharfage and vapor recovery.</w:t>
      </w:r>
    </w:p>
    <w:p>
      <w:pPr>
        <w:pStyle w:val="TextBody"/>
        <w:bidi w:val="0"/>
        <w:spacing w:before="0" w:after="264"/>
        <w:ind w:left="0" w:right="0" w:firstLine="792"/>
        <w:jc w:val="left"/>
        <w:rPr>
          <w:rFonts w:ascii="Times New Roman;Times;serif" w:hAnsi="Times New Roman;Times;serif"/>
          <w:sz w:val="20"/>
        </w:rPr>
      </w:pPr>
      <w:r>
        <w:rPr>
          <w:rFonts w:ascii="Times New Roman;Times;serif" w:hAnsi="Times New Roman;Times;serif"/>
          <w:sz w:val="20"/>
        </w:rPr>
        <w:t>The terminaling services fees by business segments were as follows (in thousands):</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Terminaling Services Fees by Business Segment</w:t>
      </w:r>
    </w:p>
    <w:tbl>
      <w:tblPr>
        <w:tblW w:w="4502" w:type="dxa"/>
        <w:jc w:val="left"/>
        <w:tblInd w:w="0" w:type="dxa"/>
        <w:tblLayout w:type="fixed"/>
        <w:tblCellMar>
          <w:top w:w="0" w:type="dxa"/>
          <w:left w:w="0" w:type="dxa"/>
          <w:bottom w:w="0" w:type="dxa"/>
          <w:right w:w="0" w:type="dxa"/>
        </w:tblCellMar>
      </w:tblPr>
      <w:tblGrid>
        <w:gridCol w:w="2176"/>
        <w:gridCol w:w="326"/>
        <w:gridCol w:w="211"/>
        <w:gridCol w:w="676"/>
        <w:gridCol w:w="109"/>
        <w:gridCol w:w="211"/>
        <w:gridCol w:w="793"/>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81760" cy="175260"/>
                      <wp:effectExtent l="0" t="0" r="0" b="0"/>
                      <wp:wrapNone/>
                      <wp:docPr id="396" name="Frame396"/>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29260" cy="175260"/>
                      <wp:effectExtent l="0" t="0" r="0" b="0"/>
                      <wp:wrapNone/>
                      <wp:docPr id="399" name="Frame3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400"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03555" cy="175260"/>
                      <wp:effectExtent l="0" t="0" r="0" b="0"/>
                      <wp:wrapNone/>
                      <wp:docPr id="402" name="Frame40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Gulf Coast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22,063</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Midwest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4,513</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Terminaling services fees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77,498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increase in terminaling services fees at our Gulf Coast terminals is primarily a result of receiving one-time customer settlements of approximately $1.2 million during the third quarter of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decrease in terminaling services fees at our West Coast terminals is primarily a result of available capacity.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terminaling services fees for the three months ended September 30, 2025 and 2024, are fees charged to affiliates of approximately $0.7 million and $0.4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“firm commitments” and “ancillary” revenue included in terminaling services fees were as follows (in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Firm Commitments and Ancillary Revenue</w:t>
      </w:r>
    </w:p>
    <w:tbl>
      <w:tblPr>
        <w:tblW w:w="4719" w:type="dxa"/>
        <w:jc w:val="left"/>
        <w:tblInd w:w="0" w:type="dxa"/>
        <w:tblLayout w:type="fixed"/>
        <w:tblCellMar>
          <w:top w:w="0" w:type="dxa"/>
          <w:left w:w="0" w:type="dxa"/>
          <w:bottom w:w="0" w:type="dxa"/>
          <w:right w:w="0" w:type="dxa"/>
        </w:tblCellMar>
      </w:tblPr>
      <w:tblGrid>
        <w:gridCol w:w="2176"/>
        <w:gridCol w:w="326"/>
        <w:gridCol w:w="211"/>
        <w:gridCol w:w="676"/>
        <w:gridCol w:w="326"/>
        <w:gridCol w:w="211"/>
        <w:gridCol w:w="793"/>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81760" cy="175260"/>
                      <wp:effectExtent l="0" t="0" r="0" b="0"/>
                      <wp:wrapNone/>
                      <wp:docPr id="403" name="Frame403"/>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29260" cy="175260"/>
                      <wp:effectExtent l="0" t="0" r="0" b="0"/>
                      <wp:wrapNone/>
                      <wp:docPr id="406" name="Frame4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03555" cy="175260"/>
                      <wp:effectExtent l="0" t="0" r="0" b="0"/>
                      <wp:wrapNone/>
                      <wp:docPr id="409" name="Frame40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1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Firm commitments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61,085</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Ancillary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16,413</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Terminaling services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77,498</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remaining terms on the terminaling services agreements that generated “firm commitments” for the three months ended September 30, 2025 are as follows (in thousands):</w:t>
      </w:r>
    </w:p>
    <w:tbl>
      <w:tblPr>
        <w:tblW w:w="8006" w:type="dxa"/>
        <w:jc w:val="left"/>
        <w:tblInd w:w="0" w:type="dxa"/>
        <w:tblLayout w:type="fixed"/>
        <w:tblCellMar>
          <w:top w:w="0" w:type="dxa"/>
          <w:left w:w="0" w:type="dxa"/>
          <w:bottom w:w="0" w:type="dxa"/>
          <w:right w:w="0" w:type="dxa"/>
        </w:tblCellMar>
      </w:tblPr>
      <w:tblGrid>
        <w:gridCol w:w="5941"/>
        <w:gridCol w:w="326"/>
        <w:gridCol w:w="211"/>
        <w:gridCol w:w="676"/>
        <w:gridCol w:w="326"/>
        <w:gridCol w:w="526"/>
      </w:tblGrid>
      <w:tr>
        <w:trPr/>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772535" cy="175260"/>
                      <wp:effectExtent l="0" t="0" r="0" b="0"/>
                      <wp:wrapNone/>
                      <wp:docPr id="410" name="Frame410"/>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29260" cy="175260"/>
                      <wp:effectExtent l="0" t="0" r="0" b="0"/>
                      <wp:wrapNone/>
                      <wp:docPr id="413" name="Frame4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34010" cy="175260"/>
                      <wp:effectExtent l="0" t="0" r="0" b="0"/>
                      <wp:wrapNone/>
                      <wp:docPr id="415" name="Frame41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than 1 year remaining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21,748</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 year or more, but less than 3 years remaining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30,926</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 years or more, but less than 5 years remaining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9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5 years or more remaining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firm commitments for the three months ended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57,764</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Management fees.</w:t>
      </w:r>
      <w:r>
        <w:rPr>
          <w:rFonts w:ascii="Times New Roman;Times;serif" w:hAnsi="Times New Roman;Times;serif"/>
          <w:sz w:val="20"/>
        </w:rPr>
        <w:t xml:space="preserve"> We manage and operate certain tank capacity at our Port Everglades South terminal for a major oil company and receive a reimbursement of its proportionate share of operating and maintenance costs. We manage and operate Frontera and receive a management fee based on our costs incurred. We lease land under operating leases as the lessor or sublessor with third parties and affiliates. We manage and operate rail sites at certain Southeast terminals on behalf of a major oil company and receive reimbursement for operating and maintenance costs. We manage and operate SeaPort Midstream and receive a management fee based on our costs incurred. We also manage additional terminal facilities that are owned by affiliates of ArcLight, including Lucknow-Highspire Terminals, LLC, which operates terminals throughout Pennsylvania encompassing approximately 9.9 million barrels of storage capacity and we receive a management fee based on our costs incurred. Our administration of payroll for Lucknow-Highspire Terminals, LLC ended on December 31, 2024.</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management fees by business segments were as follows (in thousands):</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Management Fees by Business Segment</w:t>
      </w:r>
    </w:p>
    <w:tbl>
      <w:tblPr>
        <w:tblW w:w="4239" w:type="dxa"/>
        <w:jc w:val="left"/>
        <w:tblInd w:w="0" w:type="dxa"/>
        <w:tblLayout w:type="fixed"/>
        <w:tblCellMar>
          <w:top w:w="0" w:type="dxa"/>
          <w:left w:w="0" w:type="dxa"/>
          <w:bottom w:w="0" w:type="dxa"/>
          <w:right w:w="0" w:type="dxa"/>
        </w:tblCellMar>
      </w:tblPr>
      <w:tblGrid>
        <w:gridCol w:w="1906"/>
        <w:gridCol w:w="326"/>
        <w:gridCol w:w="211"/>
        <w:gridCol w:w="571"/>
        <w:gridCol w:w="326"/>
        <w:gridCol w:w="211"/>
        <w:gridCol w:w="688"/>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210310" cy="175260"/>
                      <wp:effectExtent l="0" t="0" r="0" b="0"/>
                      <wp:wrapNone/>
                      <wp:docPr id="416" name="Frame41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62585" cy="175260"/>
                      <wp:effectExtent l="0" t="0" r="0" b="0"/>
                      <wp:wrapNone/>
                      <wp:docPr id="419" name="Frame4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6880" cy="175260"/>
                      <wp:effectExtent l="0" t="0" r="0" b="0"/>
                      <wp:wrapNone/>
                      <wp:docPr id="422" name="Frame422"/>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0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Gulf Coast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Midwest terminals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3,457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decrease in management fees in Central services is primarily due to our administration of payroll for the ArcLight affiliate owned Lucknow-Highspire Terminals, LLC ending on December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Included in management fees for the three months ended September 30, 2025 and 2024, are fees charged to affiliates of approximately $2.4 million and $3.2 million, respectively.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ANALYSIS OF PRODUCT SALES, GROSS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Product sales, gross margin.</w:t>
      </w:r>
      <w:r>
        <w:rPr>
          <w:rFonts w:ascii="Times New Roman;Times;serif" w:hAnsi="Times New Roman;Times;serif"/>
          <w:sz w:val="20"/>
        </w:rPr>
        <w:t xml:space="preserve"> Our product sales revenue refers to the sale of refined and renewable products at our terminal in Tacoma, Washington. Product sales revenue pricing is contractually specified and is recognized at a point in time when our customers take control and legal title of the commodities purchased. Product sales revenue is recorded gross of cost of product sales, which includes product purchases and transportation costs.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product sales, gross margin was as follows (in thousands):</w:t>
      </w:r>
    </w:p>
    <w:tbl>
      <w:tblPr>
        <w:tblW w:w="5127" w:type="dxa"/>
        <w:jc w:val="left"/>
        <w:tblInd w:w="0" w:type="dxa"/>
        <w:tblLayout w:type="fixed"/>
        <w:tblCellMar>
          <w:top w:w="0" w:type="dxa"/>
          <w:left w:w="0" w:type="dxa"/>
          <w:bottom w:w="0" w:type="dxa"/>
          <w:right w:w="0" w:type="dxa"/>
        </w:tblCellMar>
      </w:tblPr>
      <w:tblGrid>
        <w:gridCol w:w="2311"/>
        <w:gridCol w:w="326"/>
        <w:gridCol w:w="211"/>
        <w:gridCol w:w="796"/>
        <w:gridCol w:w="326"/>
        <w:gridCol w:w="211"/>
        <w:gridCol w:w="94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467485" cy="175260"/>
                      <wp:effectExtent l="0" t="0" r="0" b="0"/>
                      <wp:wrapNone/>
                      <wp:docPr id="423" name="Frame42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05460" cy="175260"/>
                      <wp:effectExtent l="0" t="0" r="0" b="0"/>
                      <wp:wrapNone/>
                      <wp:docPr id="426" name="Frame4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00710" cy="175260"/>
                      <wp:effectExtent l="0" t="0" r="0" b="0"/>
                      <wp:wrapNone/>
                      <wp:docPr id="429" name="Frame4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83,852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109,732</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(76,961)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(102,377)</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7,355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decrease in product sales and cost of product sales is primarily a result of decreased product volumes and prices.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ANALYSIS OF COSTS AND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operating costs and expenses of our operations include wages and employee benefits, utilities, communications, repairs and maintenance, rent, property taxes, vehicle expenses, environmental compliance costs, contract services, legal fees and materials and supplies needed to operate our terminals and pipelines. Consistent with historical trends across our terminaling and transportation facilities, repairs and maintenance expenses can vary from period to period based on project maintenance schedules and other factors such as weather.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operating costs and expenses of our operations were as follows (in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Operating Costs and Expenses</w:t>
      </w:r>
    </w:p>
    <w:tbl>
      <w:tblPr>
        <w:tblW w:w="5649" w:type="dxa"/>
        <w:jc w:val="left"/>
        <w:tblInd w:w="0" w:type="dxa"/>
        <w:tblLayout w:type="fixed"/>
        <w:tblCellMar>
          <w:top w:w="0" w:type="dxa"/>
          <w:left w:w="0" w:type="dxa"/>
          <w:bottom w:w="0" w:type="dxa"/>
          <w:right w:w="0" w:type="dxa"/>
        </w:tblCellMar>
      </w:tblPr>
      <w:tblGrid>
        <w:gridCol w:w="3106"/>
        <w:gridCol w:w="326"/>
        <w:gridCol w:w="211"/>
        <w:gridCol w:w="676"/>
        <w:gridCol w:w="326"/>
        <w:gridCol w:w="211"/>
        <w:gridCol w:w="793"/>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972310" cy="175260"/>
                      <wp:effectExtent l="0" t="0" r="0" b="0"/>
                      <wp:wrapNone/>
                      <wp:docPr id="430" name="Frame43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29260" cy="175260"/>
                      <wp:effectExtent l="0" t="0" r="0" b="0"/>
                      <wp:wrapNone/>
                      <wp:docPr id="433" name="Frame4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03555" cy="175260"/>
                      <wp:effectExtent l="0" t="0" r="0" b="0"/>
                      <wp:wrapNone/>
                      <wp:docPr id="436" name="Frame43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1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Wages and 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14,846</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Utilities and communication charges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Repairs and maintenance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taxes and rentals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 and fuel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compliance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Additive detergent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 services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33,471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operating costs and expenses of our business segments were as follows (in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Operating Costs and Expenses by Business Segment</w:t>
      </w:r>
    </w:p>
    <w:tbl>
      <w:tblPr>
        <w:tblW w:w="5049" w:type="dxa"/>
        <w:jc w:val="left"/>
        <w:tblInd w:w="0" w:type="dxa"/>
        <w:tblLayout w:type="fixed"/>
        <w:tblCellMar>
          <w:top w:w="0" w:type="dxa"/>
          <w:left w:w="0" w:type="dxa"/>
          <w:bottom w:w="0" w:type="dxa"/>
          <w:right w:w="0" w:type="dxa"/>
        </w:tblCellMar>
      </w:tblPr>
      <w:tblGrid>
        <w:gridCol w:w="2506"/>
        <w:gridCol w:w="326"/>
        <w:gridCol w:w="211"/>
        <w:gridCol w:w="676"/>
        <w:gridCol w:w="326"/>
        <w:gridCol w:w="211"/>
        <w:gridCol w:w="793"/>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591310" cy="175260"/>
                      <wp:effectExtent l="0" t="0" r="0" b="0"/>
                      <wp:wrapNone/>
                      <wp:docPr id="437" name="Frame43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29260" cy="175260"/>
                      <wp:effectExtent l="0" t="0" r="0" b="0"/>
                      <wp:wrapNone/>
                      <wp:docPr id="440" name="Frame4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42"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03555" cy="175260"/>
                      <wp:effectExtent l="0" t="0" r="0" b="0"/>
                      <wp:wrapNone/>
                      <wp:docPr id="443" name="Frame44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1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Gulf Coast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6,207</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Midwest terminals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7,400</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9,948</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4,606</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33,471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cover the costs of corporate functions such as legal, accounting, treasury, insurance administration and claims processing, information technology, human resources, credit, payroll, taxes and other corporate services. General and administrative expenses also include third party accounting costs associated with annual and quarterly reports and tax return preparation and distribution, and legal fees. The general and administrative expenses were approximately $6.9 million and $7.4 million for the three months ended September 30, 2025 and 2024, respectively. The decrease in general and administrative expenses is primarily due to our administration of payroll for the ArcLight affiliate owned Lucknow-Highspire Terminals, LLC ending on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Insurance expenses include charges for insurance premiums to cover costs of insuring activities such as property, casualty, pollution, automobile, directors’ and officers’ liability, and other insurable risks. For the three months ended September 30, 2025 and 2024, the expense associated with insurance was approximately $2.1 million and $1.7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Deferred compensation expense includes expense associated with awards granted to certain employees who provide service to us that vest over future service periods. The expense associated with these deferred compensation awards was approximately $0.5 million and $0.6 million for the three months ended September 30, 2025 and 2024,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2025 and 2024, depreciation and amortization expense was approximately $18.1 million and $17.9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2025 and 2024, interest expense was approximately $29.7 million and $49.9 million, respectively. Interest expense for the three months ended September 30, 2025 and 2024 is impacted by an unrealized loss on interest rate swap agreements of approximately $1.5 million and $24.1 million, respectively.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ANALYSIS OF INVESTMENTS IN UNCONSOLIDATED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investments in unconsolidated affiliates include a 42.5% Class A ownership interest in BOSTCO, a 30% ownership interest in Olympic Pipeline Company, a 51% ownership interest in SeaPort Midstream and a 50% ownership interest in Frontera. BOSTCO is a terminal facility located on the Houston Ship Channel that encompasses approximately 7.1 million barrels of distillate, residual and other black oil product storage. Class A and Class B ownership interests in BOSTCO share in cash distributions on a 96.5% and 3.5% basis, respectively. Class B ownership interests do not have voting rights and are not required to make capital investments. Olympic Pipeline Company is a 400-mile interstate refined petroleum products pipeline system running from Blaine, Washington to Portland, Oregon and a refined and renewable products terminal in Bayview, Washington. SeaPort Midstream is two terminal facilities located in Seattle, Washington and Portland, Oregon that encompasses approximately 1.3 million barrels of refined and renewable product storage. Frontera is a terminal facility located in Brownsville, Texas that encompasses approximately 1.7 million barrels of light petroleum product storage, as well as related ancillary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Earnings (loss) from investments in unconsolidated affiliates was as follows (in thousands):</w:t>
      </w:r>
    </w:p>
    <w:tbl>
      <w:tblPr>
        <w:tblW w:w="7329" w:type="dxa"/>
        <w:jc w:val="left"/>
        <w:tblInd w:w="0" w:type="dxa"/>
        <w:tblLayout w:type="fixed"/>
        <w:tblCellMar>
          <w:top w:w="0" w:type="dxa"/>
          <w:left w:w="0" w:type="dxa"/>
          <w:bottom w:w="0" w:type="dxa"/>
          <w:right w:w="0" w:type="dxa"/>
        </w:tblCellMar>
      </w:tblPr>
      <w:tblGrid>
        <w:gridCol w:w="4996"/>
        <w:gridCol w:w="326"/>
        <w:gridCol w:w="211"/>
        <w:gridCol w:w="571"/>
        <w:gridCol w:w="326"/>
        <w:gridCol w:w="211"/>
        <w:gridCol w:w="688"/>
      </w:tblGrid>
      <w:tr>
        <w:trPr/>
        <w:tc>
          <w:tcPr>
            <w:tcW w:w="4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172460" cy="175260"/>
                      <wp:effectExtent l="0" t="0" r="0" b="0"/>
                      <wp:wrapNone/>
                      <wp:docPr id="444" name="Frame444"/>
                      <a:graphic xmlns:a="http://schemas.openxmlformats.org/drawingml/2006/main">
                        <a:graphicData uri="http://schemas.microsoft.com/office/word/2010/wordprocessingShape">
                          <wps:wsp>
                            <wps:cNvSpPr txBox="1"/>
                            <wps:spPr>
                              <a:xfrm>
                                <a:off x="0" y="0"/>
                                <a:ext cx="317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62585" cy="175260"/>
                      <wp:effectExtent l="0" t="0" r="0" b="0"/>
                      <wp:wrapNone/>
                      <wp:docPr id="447" name="Frame4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36880" cy="175260"/>
                      <wp:effectExtent l="0" t="0" r="0" b="0"/>
                      <wp:wrapNone/>
                      <wp:docPr id="450" name="Frame45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0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BOSTCO</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Olympic Pipeline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SeaPort Midstream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Frontera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earnings from investments in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4,428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decrease in earnings from our investment in Olympic Pipeline Company is primarily attributable to timing of scheduled maintenance on the pipeline.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distributions received from unconsolidated affiliates was as follows (in thousands):</w:t>
      </w:r>
    </w:p>
    <w:tbl>
      <w:tblPr>
        <w:tblW w:w="7149" w:type="dxa"/>
        <w:jc w:val="left"/>
        <w:tblInd w:w="0" w:type="dxa"/>
        <w:tblLayout w:type="fixed"/>
        <w:tblCellMar>
          <w:top w:w="0" w:type="dxa"/>
          <w:left w:w="0" w:type="dxa"/>
          <w:bottom w:w="0" w:type="dxa"/>
          <w:right w:w="0" w:type="dxa"/>
        </w:tblCellMar>
      </w:tblPr>
      <w:tblGrid>
        <w:gridCol w:w="4816"/>
        <w:gridCol w:w="326"/>
        <w:gridCol w:w="211"/>
        <w:gridCol w:w="571"/>
        <w:gridCol w:w="326"/>
        <w:gridCol w:w="211"/>
        <w:gridCol w:w="688"/>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058160" cy="175260"/>
                      <wp:effectExtent l="0" t="0" r="0" b="0"/>
                      <wp:wrapNone/>
                      <wp:docPr id="451" name="Frame451"/>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62585" cy="175260"/>
                      <wp:effectExtent l="0" t="0" r="0" b="0"/>
                      <wp:wrapNone/>
                      <wp:docPr id="454" name="Frame4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36880" cy="175260"/>
                      <wp:effectExtent l="0" t="0" r="0" b="0"/>
                      <wp:wrapNone/>
                      <wp:docPr id="457" name="Frame45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0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BOSTCO</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Olympic Pipeline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SeaPort Midstream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Frontera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distributions received from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1,874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OPERATIONS—NINE MONTHS ENDED SEPTEMBER 30, 2025 AND 2024</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operate our business and report our results of operations in seven principal business segments: (i) Gulf Coast terminals, (ii) Midwest terminals, (iii) Brownsville terminals including management of Frontera, (iv) River terminals, (v) Southeast terminals, (vi) West Coast terminals and (vii) Central services. Our Central services segment primarily represents the costs of employees performing operating oversight functions, engineering, health, safety and environmental services to our terminals and terminals that we operate. In addition, Central services represent the cost of employees at standalone affiliate terminals that we operate or manage. We receive a fee from these affiliates based on our costs incurred.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and analysis of the results of operations and financial condition should be read in conjunction with the accompanying unaudited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ANALYSIS OF TERMINAL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Terminal revenue.</w:t>
      </w:r>
      <w:r>
        <w:rPr>
          <w:rFonts w:ascii="Times New Roman;Times;serif" w:hAnsi="Times New Roman;Times;serif"/>
          <w:sz w:val="20"/>
        </w:rPr>
        <w:t xml:space="preserve"> We derive terminal revenue from our terminal operations by charging fees for providing integrated terminaling, transportation and related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terminal revenue by category was as follows (in thousands):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Terminal Revenue by Category</w:t>
      </w:r>
    </w:p>
    <w:tbl>
      <w:tblPr>
        <w:tblW w:w="4929" w:type="dxa"/>
        <w:jc w:val="left"/>
        <w:tblInd w:w="0" w:type="dxa"/>
        <w:tblLayout w:type="fixed"/>
        <w:tblCellMar>
          <w:top w:w="0" w:type="dxa"/>
          <w:left w:w="0" w:type="dxa"/>
          <w:bottom w:w="0" w:type="dxa"/>
          <w:right w:w="0" w:type="dxa"/>
        </w:tblCellMar>
      </w:tblPr>
      <w:tblGrid>
        <w:gridCol w:w="2176"/>
        <w:gridCol w:w="326"/>
        <w:gridCol w:w="211"/>
        <w:gridCol w:w="781"/>
        <w:gridCol w:w="326"/>
        <w:gridCol w:w="211"/>
        <w:gridCol w:w="898"/>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81760" cy="175260"/>
                      <wp:effectExtent l="0" t="0" r="0" b="0"/>
                      <wp:wrapNone/>
                      <wp:docPr id="458" name="Frame458"/>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95935" cy="175260"/>
                      <wp:effectExtent l="0" t="0" r="0" b="0"/>
                      <wp:wrapNone/>
                      <wp:docPr id="461" name="Frame4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70230" cy="175260"/>
                      <wp:effectExtent l="0" t="0" r="0" b="0"/>
                      <wp:wrapNone/>
                      <wp:docPr id="464" name="Frame46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Terminaling services fees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230,961</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11,439</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242,400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terminal revenue by business segment is presented and further analyzed below by category of revenue.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Terminal Revenue by Business Segment</w:t>
      </w:r>
    </w:p>
    <w:tbl>
      <w:tblPr>
        <w:tblW w:w="4442" w:type="dxa"/>
        <w:jc w:val="left"/>
        <w:tblInd w:w="0" w:type="dxa"/>
        <w:tblLayout w:type="fixed"/>
        <w:tblCellMar>
          <w:top w:w="0" w:type="dxa"/>
          <w:left w:w="0" w:type="dxa"/>
          <w:bottom w:w="0" w:type="dxa"/>
          <w:right w:w="0" w:type="dxa"/>
        </w:tblCellMar>
      </w:tblPr>
      <w:tblGrid>
        <w:gridCol w:w="1906"/>
        <w:gridCol w:w="326"/>
        <w:gridCol w:w="211"/>
        <w:gridCol w:w="781"/>
        <w:gridCol w:w="109"/>
        <w:gridCol w:w="211"/>
        <w:gridCol w:w="898"/>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210310" cy="175260"/>
                      <wp:effectExtent l="0" t="0" r="0" b="0"/>
                      <wp:wrapNone/>
                      <wp:docPr id="465" name="Frame465"/>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95935" cy="175260"/>
                      <wp:effectExtent l="0" t="0" r="0" b="0"/>
                      <wp:wrapNone/>
                      <wp:docPr id="468" name="Frame4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9215" cy="175260"/>
                      <wp:effectExtent l="0" t="0" r="0" b="0"/>
                      <wp:wrapNone/>
                      <wp:docPr id="469"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70230" cy="175260"/>
                      <wp:effectExtent l="0" t="0" r="0" b="0"/>
                      <wp:wrapNone/>
                      <wp:docPr id="471" name="Frame47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Gulf Coast terminals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66,228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Midwest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8,465</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11,058</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55,868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76,418</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238,980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242,400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Terminaling services fees.</w:t>
      </w:r>
      <w:r>
        <w:rPr>
          <w:rFonts w:ascii="Times New Roman;Times;serif" w:hAnsi="Times New Roman;Times;serif"/>
          <w:sz w:val="20"/>
        </w:rPr>
        <w:t xml:space="preserve"> </w:t>
      </w:r>
      <w:r>
        <w:rPr>
          <w:rFonts w:ascii="Times New Roman;Times;serif" w:hAnsi="Times New Roman;Times;serif"/>
          <w:spacing w:val="-2"/>
          <w:sz w:val="20"/>
        </w:rPr>
        <w:t xml:space="preserve">Our terminaling services agreements are structured as either throughput agreements or storage agreements. Our throughput agreements contain provisions that require our customers to make minimum payments, which are based on contractually established minimum volume of throughput of the customer’s product at our facilities over a stipulated period of time. Due to this minimum payment arrangement, we recognize a fixed amount of revenue from the customer over a certain period of time, even if the customer throughputs less than the minimum volume of product during that period. In addition, if a customer throughputs a volume of product exceeding the minimum volume, we would recognize additional revenue on this incremental volume. Our storage agreements require our customers to make minimum payments based on the volume of storage capacity available to the customer under the agreement, which results in a fixed amount of recognized revenue. </w:t>
      </w:r>
    </w:p>
    <w:p>
      <w:pPr>
        <w:pStyle w:val="TextBody"/>
        <w:bidi w:val="0"/>
        <w:spacing w:before="0" w:after="0"/>
        <w:ind w:left="0" w:right="0" w:firstLine="720"/>
        <w:jc w:val="left"/>
        <w:rPr>
          <w:spacing w:val="-2"/>
        </w:rPr>
      </w:pPr>
      <w:r>
        <w:rPr>
          <w:spacing w:val="-2"/>
        </w:rPr>
        <w:t>​</w:t>
      </w:r>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pacing w:val="-2"/>
          <w:sz w:val="20"/>
        </w:rPr>
        <w:t xml:space="preserve">We refer to the fixed amount of revenue recognized pursuant to our terminaling services agreements as being “firm commitments.” Revenue recognized in excess of firm commitments and revenue recognized based solely on the volume of product distributed or injected are referred to as “ancillary.” In addition, “ancillary” revenue also includes </w:t>
      </w:r>
      <w:r>
        <w:rPr>
          <w:rFonts w:ascii="Times New Roman;Times;serif" w:hAnsi="Times New Roman;Times;serif"/>
          <w:sz w:val="20"/>
        </w:rPr>
        <w:t>fees received from ancillary services including heating and mixing of stored products, product transfer, railcar handling, butane blending, proceeds from the sale of product gains, wharfage and vapor recovery.</w:t>
      </w:r>
    </w:p>
    <w:p>
      <w:pPr>
        <w:pStyle w:val="TextBody"/>
        <w:bidi w:val="0"/>
        <w:spacing w:before="0" w:after="264"/>
        <w:ind w:left="0" w:right="0" w:firstLine="792"/>
        <w:jc w:val="left"/>
        <w:rPr>
          <w:rFonts w:ascii="Times New Roman;Times;serif" w:hAnsi="Times New Roman;Times;serif"/>
          <w:sz w:val="20"/>
        </w:rPr>
      </w:pPr>
      <w:r>
        <w:rPr>
          <w:rFonts w:ascii="Times New Roman;Times;serif" w:hAnsi="Times New Roman;Times;serif"/>
          <w:sz w:val="20"/>
        </w:rPr>
        <w:t>The terminaling services fees by business segments were as follows (in thousands):</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Terminaling Services Fees by Business Segment</w:t>
      </w:r>
    </w:p>
    <w:tbl>
      <w:tblPr>
        <w:tblW w:w="4712" w:type="dxa"/>
        <w:jc w:val="left"/>
        <w:tblInd w:w="0" w:type="dxa"/>
        <w:tblLayout w:type="fixed"/>
        <w:tblCellMar>
          <w:top w:w="0" w:type="dxa"/>
          <w:left w:w="0" w:type="dxa"/>
          <w:bottom w:w="0" w:type="dxa"/>
          <w:right w:w="0" w:type="dxa"/>
        </w:tblCellMar>
      </w:tblPr>
      <w:tblGrid>
        <w:gridCol w:w="2176"/>
        <w:gridCol w:w="326"/>
        <w:gridCol w:w="211"/>
        <w:gridCol w:w="781"/>
        <w:gridCol w:w="109"/>
        <w:gridCol w:w="211"/>
        <w:gridCol w:w="898"/>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81760" cy="175260"/>
                      <wp:effectExtent l="0" t="0" r="0" b="0"/>
                      <wp:wrapNone/>
                      <wp:docPr id="472" name="Frame47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4"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95935" cy="175260"/>
                      <wp:effectExtent l="0" t="0" r="0" b="0"/>
                      <wp:wrapNone/>
                      <wp:docPr id="475" name="Frame4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33985" cy="175260"/>
                      <wp:effectExtent l="0" t="0" r="0" b="0"/>
                      <wp:wrapNone/>
                      <wp:docPr id="477"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70230" cy="175260"/>
                      <wp:effectExtent l="0" t="0" r="0" b="0"/>
                      <wp:wrapNone/>
                      <wp:docPr id="478" name="Frame47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Gulf Coast terminals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66,165</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Midwest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8,465</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13,687</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11,058</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55,174</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76,412</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Terminaling services fees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230,872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230,961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increase in terminaling services fees at our Gulf Coast terminals is primarily a result of receiving one-time customer settlements of approximately $1.2 million during the third quarter of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decrease in terminaling services fees at our Brownsville terminals is primarily a result of a one-time customer settlement payment of approximately $4.4 million during the second quarter of 2025 and available capacity.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increase in terminaling services fees at our River terminals is primarily a result of contracting available capacity and increased ancillary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decrease in terminaling services fees at our Southeast terminals is primarily a result of available capacity and timing of scheduled maintenance.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increase in terminaling services fees at our West Coast terminals is primarily a result of placing growth projects into service during the second and third quarters of 2024 and increased ancillary fees.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terminaling services fees for the nine months ended September 30, 2025 and 2024, are fees charged to affiliates of approximately $1.5 million and $1.2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“firm commitments” and “ancillary” revenue included in terminaling services fees were as follows (in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Firm Commitments and Ancillary Revenue</w:t>
      </w:r>
    </w:p>
    <w:tbl>
      <w:tblPr>
        <w:tblW w:w="4712" w:type="dxa"/>
        <w:jc w:val="left"/>
        <w:tblInd w:w="0" w:type="dxa"/>
        <w:tblLayout w:type="fixed"/>
        <w:tblCellMar>
          <w:top w:w="0" w:type="dxa"/>
          <w:left w:w="0" w:type="dxa"/>
          <w:bottom w:w="0" w:type="dxa"/>
          <w:right w:w="0" w:type="dxa"/>
        </w:tblCellMar>
      </w:tblPr>
      <w:tblGrid>
        <w:gridCol w:w="2176"/>
        <w:gridCol w:w="326"/>
        <w:gridCol w:w="211"/>
        <w:gridCol w:w="781"/>
        <w:gridCol w:w="109"/>
        <w:gridCol w:w="211"/>
        <w:gridCol w:w="898"/>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81760" cy="175260"/>
                      <wp:effectExtent l="0" t="0" r="0" b="0"/>
                      <wp:wrapNone/>
                      <wp:docPr id="479" name="Frame479"/>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95935" cy="175260"/>
                      <wp:effectExtent l="0" t="0" r="0" b="0"/>
                      <wp:wrapNone/>
                      <wp:docPr id="482" name="Frame4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9215" cy="175260"/>
                      <wp:effectExtent l="0" t="0" r="0" b="0"/>
                      <wp:wrapNone/>
                      <wp:docPr id="483" name="Frame4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70230" cy="175260"/>
                      <wp:effectExtent l="0" t="0" r="0" b="0"/>
                      <wp:wrapNone/>
                      <wp:docPr id="485" name="Frame48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Firm commitments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179,377</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Ancillary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51,298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51,584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Terminaling services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230,961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Management fees.</w:t>
      </w:r>
      <w:r>
        <w:rPr>
          <w:rFonts w:ascii="Times New Roman;Times;serif" w:hAnsi="Times New Roman;Times;serif"/>
          <w:sz w:val="20"/>
        </w:rPr>
        <w:t xml:space="preserve"> We manage and operate certain tank capacity at our Port Everglades South terminal for a major oil company and receive a reimbursement of its proportionate share of operating and maintenance costs. We manage and operate Frontera and receive a management fee based on our costs incurred. We lease land under operating leases as the lessor or sublessor with third parties and affiliates. We manage and operate rail sites at certain Southeast terminals on behalf of a major oil company and receive reimbursement for operating and maintenance costs. We manage and operate SeaPort Midstream and receive a management fee based on our costs incurred. We also manage additional terminal facilities that are owned by affiliates of ArcLight, including Lucknow-Highspire Terminals, LLC, which operates terminals throughout Pennsylvania encompassing approximately 9.9 million barrels of storage capacity and we receive a management fee based on our costs incurred. Our administration of payroll for Lucknow-Highspire Terminals, LLC ended on December 31, 2024.</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management fees by business segments were as follows (in thousands):</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Management Fees by Business Segment</w:t>
      </w:r>
    </w:p>
    <w:tbl>
      <w:tblPr>
        <w:tblW w:w="4127" w:type="dxa"/>
        <w:jc w:val="left"/>
        <w:tblInd w:w="0" w:type="dxa"/>
        <w:tblLayout w:type="fixed"/>
        <w:tblCellMar>
          <w:top w:w="0" w:type="dxa"/>
          <w:left w:w="0" w:type="dxa"/>
          <w:bottom w:w="0" w:type="dxa"/>
          <w:right w:w="0" w:type="dxa"/>
        </w:tblCellMar>
      </w:tblPr>
      <w:tblGrid>
        <w:gridCol w:w="1906"/>
        <w:gridCol w:w="326"/>
        <w:gridCol w:w="211"/>
        <w:gridCol w:w="571"/>
        <w:gridCol w:w="109"/>
        <w:gridCol w:w="211"/>
        <w:gridCol w:w="793"/>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210310" cy="175260"/>
                      <wp:effectExtent l="0" t="0" r="0" b="0"/>
                      <wp:wrapNone/>
                      <wp:docPr id="486" name="Frame48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62585" cy="175260"/>
                      <wp:effectExtent l="0" t="0" r="0" b="0"/>
                      <wp:wrapNone/>
                      <wp:docPr id="489" name="Frame4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9215" cy="175260"/>
                      <wp:effectExtent l="0" t="0" r="0" b="0"/>
                      <wp:wrapNone/>
                      <wp:docPr id="490" name="Frame4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91"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03555" cy="175260"/>
                      <wp:effectExtent l="0" t="0" r="0" b="0"/>
                      <wp:wrapNone/>
                      <wp:docPr id="492" name="Frame49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Gulf Coast terminals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Midwest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4,547</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11,439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management fees in Central services is primarily due to our administration of payroll for the ArcLight affiliate owned Lucknow-Highspire Terminals, LLC ending on December 31,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Included in management fees for the nine months ended September 30, 2025 and 2024, are fees charged to affiliates of approximately $7.2 million and $10.7 million, respectively.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ANALYSIS OF PRODUCT SALES, GROSS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Product sales, gross margin.</w:t>
      </w:r>
      <w:r>
        <w:rPr>
          <w:rFonts w:ascii="Times New Roman;Times;serif" w:hAnsi="Times New Roman;Times;serif"/>
          <w:sz w:val="20"/>
        </w:rPr>
        <w:t xml:space="preserve"> Our product sales revenue refers to the sale of refined and renewable products at our terminal in Tacoma, Washington. Product sales revenue pricing is contractually specified and is recognized at a point in time when our customers take control and legal title of the commodities purchased. Product sales revenue is recorded gross of cost of product sales, which includes product purchases and transportation costs.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product sales, gross margin was as follows (in thousands):</w:t>
      </w:r>
    </w:p>
    <w:tbl>
      <w:tblPr>
        <w:tblW w:w="5232" w:type="dxa"/>
        <w:jc w:val="left"/>
        <w:tblInd w:w="0" w:type="dxa"/>
        <w:tblLayout w:type="fixed"/>
        <w:tblCellMar>
          <w:top w:w="0" w:type="dxa"/>
          <w:left w:w="0" w:type="dxa"/>
          <w:bottom w:w="0" w:type="dxa"/>
          <w:right w:w="0" w:type="dxa"/>
        </w:tblCellMar>
      </w:tblPr>
      <w:tblGrid>
        <w:gridCol w:w="2311"/>
        <w:gridCol w:w="326"/>
        <w:gridCol w:w="211"/>
        <w:gridCol w:w="901"/>
        <w:gridCol w:w="326"/>
        <w:gridCol w:w="211"/>
        <w:gridCol w:w="94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467485" cy="175260"/>
                      <wp:effectExtent l="0" t="0" r="0" b="0"/>
                      <wp:wrapNone/>
                      <wp:docPr id="493" name="Frame49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4"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72135" cy="175260"/>
                      <wp:effectExtent l="0" t="0" r="0" b="0"/>
                      <wp:wrapNone/>
                      <wp:docPr id="496" name="Frame49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00710" cy="175260"/>
                      <wp:effectExtent l="0" t="0" r="0" b="0"/>
                      <wp:wrapNone/>
                      <wp:docPr id="499" name="Frame49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257,131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290,568</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(238,580)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(271,850)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18,718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decrease in product sales and cost of product sales is primarily a result of decreased product volumes and prices. </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ANALYSIS OF COSTS AND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operating costs and expenses of our operations include wages and employee benefits, utilities, communications, repairs and maintenance, rent, property taxes, vehicle expenses, environmental compliance costs, contract services, legal fees and materials and supplies needed to operate our terminals and pipelines. Consistent with historical trends across our terminaling and transportation facilities, repairs and maintenance expenses can vary from period to period based on project maintenance schedules and other factors such as weather.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operating costs and expenses of our operations were as follows (in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Operating Costs and Expenses</w:t>
      </w:r>
    </w:p>
    <w:tbl>
      <w:tblPr>
        <w:tblW w:w="5537" w:type="dxa"/>
        <w:jc w:val="left"/>
        <w:tblInd w:w="0" w:type="dxa"/>
        <w:tblLayout w:type="fixed"/>
        <w:tblCellMar>
          <w:top w:w="0" w:type="dxa"/>
          <w:left w:w="0" w:type="dxa"/>
          <w:bottom w:w="0" w:type="dxa"/>
          <w:right w:w="0" w:type="dxa"/>
        </w:tblCellMar>
      </w:tblPr>
      <w:tblGrid>
        <w:gridCol w:w="3106"/>
        <w:gridCol w:w="326"/>
        <w:gridCol w:w="211"/>
        <w:gridCol w:w="781"/>
        <w:gridCol w:w="109"/>
        <w:gridCol w:w="211"/>
        <w:gridCol w:w="793"/>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972310" cy="175260"/>
                      <wp:effectExtent l="0" t="0" r="0" b="0"/>
                      <wp:wrapNone/>
                      <wp:docPr id="500" name="Frame50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95935" cy="175260"/>
                      <wp:effectExtent l="0" t="0" r="0" b="0"/>
                      <wp:wrapNone/>
                      <wp:docPr id="503" name="Frame5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9215" cy="175260"/>
                      <wp:effectExtent l="0" t="0" r="0" b="0"/>
                      <wp:wrapNone/>
                      <wp:docPr id="504" name="Frame5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03555" cy="175260"/>
                      <wp:effectExtent l="0" t="0" r="0" b="0"/>
                      <wp:wrapNone/>
                      <wp:docPr id="506" name="Frame50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Wages and employee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45,233</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Utilities and communication charges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Repairs and maintenance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9,426</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taxes and rentals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15,280</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 and fuel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compliance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Additive detergent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2,986</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 services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2,268</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98,500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operating costs and expenses of our business segments were as follows (in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Operating Costs and Expenses by Business Segment</w:t>
      </w:r>
    </w:p>
    <w:tbl>
      <w:tblPr>
        <w:tblW w:w="4937" w:type="dxa"/>
        <w:jc w:val="left"/>
        <w:tblInd w:w="0" w:type="dxa"/>
        <w:tblLayout w:type="fixed"/>
        <w:tblCellMar>
          <w:top w:w="0" w:type="dxa"/>
          <w:left w:w="0" w:type="dxa"/>
          <w:bottom w:w="0" w:type="dxa"/>
          <w:right w:w="0" w:type="dxa"/>
        </w:tblCellMar>
      </w:tblPr>
      <w:tblGrid>
        <w:gridCol w:w="2506"/>
        <w:gridCol w:w="326"/>
        <w:gridCol w:w="211"/>
        <w:gridCol w:w="781"/>
        <w:gridCol w:w="109"/>
        <w:gridCol w:w="211"/>
        <w:gridCol w:w="793"/>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591310" cy="175260"/>
                      <wp:effectExtent l="0" t="0" r="0" b="0"/>
                      <wp:wrapNone/>
                      <wp:docPr id="507" name="Frame50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95935" cy="175260"/>
                      <wp:effectExtent l="0" t="0" r="0" b="0"/>
                      <wp:wrapNone/>
                      <wp:docPr id="510" name="Frame5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9215" cy="175260"/>
                      <wp:effectExtent l="0" t="0" r="0" b="0"/>
                      <wp:wrapNone/>
                      <wp:docPr id="511" name="Frame5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2" name="Frame5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03555" cy="175260"/>
                      <wp:effectExtent l="0" t="0" r="0" b="0"/>
                      <wp:wrapNone/>
                      <wp:docPr id="513" name="Frame51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Gulf Coast terminals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18,849</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Midwest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Brownsville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8,733</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5,122</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Southeast terminals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21,330</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Coast terminals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29,718</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13,385</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98,500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cover the costs of corporate functions such as legal, accounting, treasury, insurance administration and claims processing, information technology, human resources, credit, payroll, taxes and other corporate services. General and administrative expenses also include third party accounting costs associated with annual and quarterly reports and tax return preparation and distribution, and legal fees. The general and administrative expenses were approximately $21.0 million and $23.5 million for the nine months ended September 30, 2025 and 2024, respectively. The decrease in general and administrative expenses is primarily due to our administration of payroll for the ArcLight affiliate owned Lucknow-Highspire Terminals, LLC ending on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Insurance expenses include charges for insurance premiums to cover costs of insuring activities such as property, casualty, pollution, automobile, directors’ and officers’ liability, and other insurable risks. For the nine months ended September 30, 2025 and 2024, the expense associated with insurance was approximately $5.6 million and $5.1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Deferred compensation expense includes expense associated with awards granted to certain employees who provide service to us that vest over future service periods. The expense associated with these deferred compensation awards was approximately $2.0 million and $3.2 million for the nine months ended September 30, 2025 and 2024,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2025 and 2024, depreciation and amortization expense was approximately $54.2 million and $53.4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nine months ended September 30, 2025 and 2024, interest expense was approximately $101.5 million and $87.0 million, respectively. Interest expense for the nine months ended September 30, 2025 and 2024 is impacted by an unrealized loss on interest rate swap agreements of approximately $18.0 million and $11.7 million, respectively.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ANALYSIS OF INVESTMENTS IN UNCONSOLIDATED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investments in unconsolidated affiliates include a 42.5% Class A ownership interest in BOSTCO, a 30% ownership interest in Olympic Pipeline Company, a 51% ownership interest in SeaPort Midstream and a 50% ownership interest in Frontera. BOSTCO is a terminal facility located on the Houston Ship Channel that encompasses approximately 7.1 million barrels of distillate, residual and other black oil product storage. Class A and Class B ownership interests in BOSTCO share in cash distributions on a 96.5% and 3.5% basis, respectively. Class B ownership interests do not have voting rights and are not required to make capital investments. Olympic Pipeline Company is a 400-mile interstate refined petroleum products pipeline system running from Blaine, Washington to Portland, Oregon and a refined and renewable products terminal in Bayview, Washington. SeaPort Midstream is two terminal facilities located in Seattle, Washington and Portland, Oregon that encompasses approximately 1.3 million barrels of refined and renewable product storage. Frontera is a terminal facility located in Brownsville, Texas that encompasses approximately 1.7 million barrels of light petroleum product storage, as well as related ancillary facilities.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Earnings (loss) from investments in unconsolidated affiliates was as follows (in thousands):</w:t>
      </w:r>
    </w:p>
    <w:tbl>
      <w:tblPr>
        <w:tblW w:w="7217" w:type="dxa"/>
        <w:jc w:val="left"/>
        <w:tblInd w:w="0" w:type="dxa"/>
        <w:tblLayout w:type="fixed"/>
        <w:tblCellMar>
          <w:top w:w="0" w:type="dxa"/>
          <w:left w:w="0" w:type="dxa"/>
          <w:bottom w:w="0" w:type="dxa"/>
          <w:right w:w="0" w:type="dxa"/>
        </w:tblCellMar>
      </w:tblPr>
      <w:tblGrid>
        <w:gridCol w:w="4996"/>
        <w:gridCol w:w="326"/>
        <w:gridCol w:w="211"/>
        <w:gridCol w:w="571"/>
        <w:gridCol w:w="109"/>
        <w:gridCol w:w="211"/>
        <w:gridCol w:w="793"/>
      </w:tblGrid>
      <w:tr>
        <w:trPr/>
        <w:tc>
          <w:tcPr>
            <w:tcW w:w="4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3172460" cy="175260"/>
                      <wp:effectExtent l="0" t="0" r="0" b="0"/>
                      <wp:wrapNone/>
                      <wp:docPr id="514" name="Frame514"/>
                      <a:graphic xmlns:a="http://schemas.openxmlformats.org/drawingml/2006/main">
                        <a:graphicData uri="http://schemas.microsoft.com/office/word/2010/wordprocessingShape">
                          <wps:wsp>
                            <wps:cNvSpPr txBox="1"/>
                            <wps:spPr>
                              <a:xfrm>
                                <a:off x="0" y="0"/>
                                <a:ext cx="317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16"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62585" cy="175260"/>
                      <wp:effectExtent l="0" t="0" r="0" b="0"/>
                      <wp:wrapNone/>
                      <wp:docPr id="517" name="Frame5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9215" cy="175260"/>
                      <wp:effectExtent l="0" t="0" r="0" b="0"/>
                      <wp:wrapNone/>
                      <wp:docPr id="518"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9" name="Frame5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03555" cy="175260"/>
                      <wp:effectExtent l="0" t="0" r="0" b="0"/>
                      <wp:wrapNone/>
                      <wp:docPr id="520" name="Frame52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4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BOSTCO</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3,812</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Olympic Pipeline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5,426</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SeaPort Midstream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2,539</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Frontera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earnings from investments in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11,552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decrease in earnings from our investment in Olympic Pipeline Company is primarily attributable to more project spend in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distributions received from unconsolidated affiliates was as follows (in thousands):</w:t>
      </w:r>
    </w:p>
    <w:tbl>
      <w:tblPr>
        <w:tblW w:w="7037" w:type="dxa"/>
        <w:jc w:val="left"/>
        <w:tblInd w:w="0" w:type="dxa"/>
        <w:tblLayout w:type="fixed"/>
        <w:tblCellMar>
          <w:top w:w="0" w:type="dxa"/>
          <w:left w:w="0" w:type="dxa"/>
          <w:bottom w:w="0" w:type="dxa"/>
          <w:right w:w="0" w:type="dxa"/>
        </w:tblCellMar>
      </w:tblPr>
      <w:tblGrid>
        <w:gridCol w:w="4816"/>
        <w:gridCol w:w="326"/>
        <w:gridCol w:w="211"/>
        <w:gridCol w:w="676"/>
        <w:gridCol w:w="109"/>
        <w:gridCol w:w="211"/>
        <w:gridCol w:w="688"/>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058160" cy="175260"/>
                      <wp:effectExtent l="0" t="0" r="0" b="0"/>
                      <wp:wrapNone/>
                      <wp:docPr id="521" name="Frame521"/>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29260" cy="175260"/>
                      <wp:effectExtent l="0" t="0" r="0" b="0"/>
                      <wp:wrapNone/>
                      <wp:docPr id="524" name="Frame5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9215" cy="175260"/>
                      <wp:effectExtent l="0" t="0" r="0" b="0"/>
                      <wp:wrapNone/>
                      <wp:docPr id="525"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36880" cy="175260"/>
                      <wp:effectExtent l="0" t="0" r="0" b="0"/>
                      <wp:wrapNone/>
                      <wp:docPr id="527" name="Frame52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BOSTCO</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Olympic Pipeline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SeaPort Midstream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Frontera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distributions received from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7,250</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increase in cash distributions received from our investment in BOSTCO is primarily attributable to less spend on repairs and maintenance in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increase in cash distributions received from our investment in Olympic Pipeline Company is primarily attributable to cash held at Olympic Pipeline Company to fund a remediation project in 2024.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liquidity needs are to fund our debt service obligations, working capital requirements and capital projects, including additional investments and expansion, development and acquisition opportunities. We expect to fund any additional investments, capital projects and future expansion, development and acquisition opportunities with cash flows from operations and additional borrowings under our revolving credit facility.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(used in) operating activities, investing activities and financing activities were as follows (in thousands): </w:t>
      </w:r>
    </w:p>
    <w:tbl>
      <w:tblPr>
        <w:tblW w:w="5960" w:type="dxa"/>
        <w:jc w:val="left"/>
        <w:tblInd w:w="0" w:type="dxa"/>
        <w:tblLayout w:type="fixed"/>
        <w:tblCellMar>
          <w:top w:w="0" w:type="dxa"/>
          <w:left w:w="0" w:type="dxa"/>
          <w:bottom w:w="0" w:type="dxa"/>
          <w:right w:w="0" w:type="dxa"/>
        </w:tblCellMar>
      </w:tblPr>
      <w:tblGrid>
        <w:gridCol w:w="3466"/>
        <w:gridCol w:w="109"/>
        <w:gridCol w:w="211"/>
        <w:gridCol w:w="796"/>
        <w:gridCol w:w="326"/>
        <w:gridCol w:w="211"/>
        <w:gridCol w:w="841"/>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200910" cy="175260"/>
                      <wp:effectExtent l="0" t="0" r="0" b="0"/>
                      <wp:wrapNone/>
                      <wp:docPr id="528" name="Frame528"/>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9215" cy="175260"/>
                      <wp:effectExtent l="0" t="0" r="0" b="0"/>
                      <wp:wrapNone/>
                      <wp:docPr id="529" name="Frame5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3985" cy="175260"/>
                      <wp:effectExtent l="0" t="0" r="0" b="0"/>
                      <wp:wrapNone/>
                      <wp:docPr id="530" name="Frame5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05460" cy="175260"/>
                      <wp:effectExtent l="0" t="0" r="0" b="0"/>
                      <wp:wrapNone/>
                      <wp:docPr id="531" name="Frame5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33985" cy="175260"/>
                      <wp:effectExtent l="0" t="0" r="0" b="0"/>
                      <wp:wrapNone/>
                      <wp:docPr id="533"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534035" cy="175260"/>
                      <wp:effectExtent l="0" t="0" r="0" b="0"/>
                      <wp:wrapNone/>
                      <wp:docPr id="534" name="Frame5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73,070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(53,500)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approximately $5.7 million increase in net cash provided by operating activities is primarily related to timing of working capital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approximately $25.5 million decrease in net cash used in investing activities includes an approximately $7.5 million decrease in maintenance and expansion capital spend and receiving member loan payments from Olympic Pipeline Company totaling approximately $9.0 million in the first half of 2025. The approximately $9.0 million member loan was made to Olympic Pipeline Company in the second quarter of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189" w:name="_Hlk181101459"/>
      <w:bookmarkEnd w:id="1189"/>
      <w:r>
        <w:rPr>
          <w:rFonts w:ascii="Times New Roman;Times;serif" w:hAnsi="Times New Roman;Times;serif"/>
          <w:sz w:val="20"/>
        </w:rPr>
        <w:t>Additional investments and expansion capital projects at our terminals have been approved and currently are, or will be, under construction with estimated completion dates through 2026. At September 30, 2025, the remaining expenditures to complete the approved projects are estimated to be approximately $25.0 million. These expenditures primarily relate to the construction costs associated with the expansion of our West Coast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cash used in financing activities decreased approximately $11.2 million. As discussed below, on February 21, 2025, the Company closed on our offering of $500 million aggregate principal amount of 8.500% senior unsecured notes due in 2030. Proceeds from the $500 million senior unsecured notes were used to redeem all of our 6.125% senior notes due in 2026 of approximately $299.9 million, fund distributions to TLP Finance Holdings, LLC of approximately $172.8 million to repay TLP Finance Holdings, LLC’s term loan due in 2025 and fees and expenses in connection with the transaction, repay borrowings under our revolving credit facility of approximately $4.0 million, and approximately $9.2 million of debt issuance costs, with the remainder used for general corporate purposes.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April 15, 2024, the Company entered into an amendment to the Credit Agreement for a new tranche of senior secured term loans in an aggregate principal amount of $150 million. Proceeds from the $150 million senior secured term loans were used for the repayment of approximately $110.4 million of borrowings under our revolving credit facility, funding of distributions to TLP Finance Holdings, LLC for debt service of approximately $36.7 million and approximately $2.9 million of debt issuance costs. </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b/>
          <w:i/>
          <w:sz w:val="20"/>
        </w:rPr>
        <w:t>Credit agreement.</w:t>
      </w:r>
      <w:r>
        <w:rPr>
          <w:rFonts w:ascii="Times New Roman;Times;serif" w:hAnsi="Times New Roman;Times;serif"/>
          <w:sz w:val="20"/>
        </w:rPr>
        <w:t xml:space="preserve"> On November 17, 2021, the Company, as parent guarantor, and TransMontaigne Operating Company L.P., our wholly owned subsidiary, entered into the Credit Agreement (“Credit Agreement”) for $1 billion senior secured term loans and a $150 million revolving credit facility, with a letter of credit subfacility of $35 million. On April 15, 2024, we entered into Amendment No. 2 to the Credit Agreement for a new tranche of senior secured term loans in an aggregate principal amount of $150 million. The other terms and conditions of the Credit Agreement were unchanged. </w:t>
      </w:r>
    </w:p>
    <w:p>
      <w:pPr>
        <w:pStyle w:val="TextBody"/>
        <w:bidi w:val="0"/>
        <w:spacing w:before="0" w:after="0"/>
        <w:ind w:left="0" w:right="0" w:firstLine="648"/>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Proceeds from the $150 million senior secured term loans were used as follows (in thousands):</w:t>
      </w:r>
    </w:p>
    <w:p>
      <w:pPr>
        <w:pStyle w:val="TextBody"/>
        <w:bidi w:val="0"/>
        <w:spacing w:before="0" w:after="0"/>
        <w:ind w:left="0" w:right="0" w:firstLine="720"/>
        <w:jc w:val="left"/>
        <w:rPr/>
      </w:pPr>
      <w:r>
        <w:rPr/>
        <w:t>​</w:t>
      </w:r>
    </w:p>
    <w:tbl>
      <w:tblPr>
        <w:tblW w:w="6244" w:type="dxa"/>
        <w:jc w:val="left"/>
        <w:tblInd w:w="0" w:type="dxa"/>
        <w:tblLayout w:type="fixed"/>
        <w:tblCellMar>
          <w:top w:w="0" w:type="dxa"/>
          <w:left w:w="0" w:type="dxa"/>
          <w:bottom w:w="0" w:type="dxa"/>
          <w:right w:w="0" w:type="dxa"/>
        </w:tblCellMar>
      </w:tblPr>
      <w:tblGrid>
        <w:gridCol w:w="5026"/>
        <w:gridCol w:w="109"/>
        <w:gridCol w:w="211"/>
        <w:gridCol w:w="898"/>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191510" cy="175260"/>
                      <wp:effectExtent l="0" t="0" r="0" b="0"/>
                      <wp:wrapNone/>
                      <wp:docPr id="535" name="Frame535"/>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36" name="Frame5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70230" cy="175260"/>
                      <wp:effectExtent l="0" t="0" r="0" b="0"/>
                      <wp:wrapNone/>
                      <wp:docPr id="538" name="Frame53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110,401</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TLP Finance Holdings, LLC for debt service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36,677</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$150 million senior secured term loans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150,000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senior secured term loans will mature on November 17, 2028. Our obligations under the Credit Agreement are guaranteed by the Company, TransMontaigne Operating Company L.P. and all of its subsidiaries, and secured by a first priority security interest in favor of the lenders in substantially all of the Company’s, TransMontaigne Operating Company L.P.’s and all of its subsidiaries’ assets, including our investments in unconsolidated affiliates.</w:t>
      </w:r>
    </w:p>
    <w:p>
      <w:pPr>
        <w:pStyle w:val="TextBody"/>
        <w:bidi w:val="0"/>
        <w:spacing w:before="100" w:after="10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28, 2024, the Company, as parent guarantor, and TransMontaigne Operating Company L.P., our wholly owned subsidiary, entered into Amendment No. 3 to the Credit Agreement, which provides for, among other things, (i) the reduction of the applicable margin of the senior secured term loans under the Credit Agreement (the “Repricing”) and (ii) the removal of the credit spread adjustment from the Term SOFR applicable to the senior secured term loans under the Credit Agreement. After giving effect to the Repricing and the removal of the credit spread adjustment, senior secured term loans under the Credit Agreement accrue interest at a per annum rate equal to, at our election, either a Term SOFR plus an applicable margin of 3.25% or an alternate base rate plus an applicable margin of 2.25%. The other terms and conditions of the Credit Agreement, as amended by Amendment No. 3, remain unchanged. </w:t>
      </w:r>
    </w:p>
    <w:p>
      <w:pPr>
        <w:pStyle w:val="TextBody"/>
        <w:bidi w:val="0"/>
        <w:spacing w:before="100" w:after="100"/>
        <w:ind w:left="0" w:right="0" w:firstLine="720"/>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 xml:space="preserve">Prior to October 28, 2024, we could elect to have loans under the Credit Agreement bear interest, at either a Term SOFR plus 0.11448% (subject to a 0.50% floor) plus an applicable margin of 3.50% or an alternate base rate plus an applicable margin of 2.50% per annum. Thereafter, Amendment No. 3 rates apply to the senior secured term loans. We are also required to pay (i) a letter of credit fee of 3.50% per annum on the aggregate face amount of all outstanding letters of credit, (ii) to the issuing lender of each letter of credit, a fronting fee of no less than 0.125% per annum on the outstanding amount of each such letter of credit and (iii) commitment fees of 0.50% per annum on the daily unused amount of the revolving credit facility, in each case quarterly in arrears.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648"/>
        <w:jc w:val="left"/>
        <w:rPr>
          <w:rFonts w:ascii="Times New Roman;Times;serif" w:hAnsi="Times New Roman;Times;serif"/>
          <w:sz w:val="18"/>
        </w:rPr>
      </w:pPr>
      <w:r>
        <w:rPr>
          <w:rFonts w:ascii="Times New Roman;Times;serif" w:hAnsi="Times New Roman;Times;serif"/>
          <w:sz w:val="20"/>
        </w:rPr>
        <w:t>On February 5, 2025, the Company, as parent guarantor, and TransMontaigne Operating Company L.P., our wholly owned subsidiary, entered into Amendment No. 4 to the Credit Agreement, which provides for, among other things,</w:t>
      </w:r>
      <w:r>
        <w:rPr>
          <w:rFonts w:ascii="Times New Roman;Times;serif" w:hAnsi="Times New Roman;Times;serif"/>
          <w:sz w:val="18"/>
        </w:rPr>
        <w:t xml:space="preserve"> </w:t>
      </w:r>
      <w:r>
        <w:rPr>
          <w:rFonts w:ascii="Times New Roman;Times;serif" w:hAnsi="Times New Roman;Times;serif"/>
          <w:sz w:val="20"/>
        </w:rPr>
        <w:t>(i) the extension of the maturity date with respect to the revolving credit facility (the “Extension”) and (ii) the reduction of the applicable margin of the loans under the revolving credit facility (the “RCF Repricing”). After giving effect to the Extension and RCF Repricing, (i) the maturity date of the revolving credit facility shall be the earlier of August 31, 2029 or, to the extent that any senior secured term loans under the Credit Agreement remain outstanding, the date that is ninety-one (91) days prior to the maturity date of such senior secured term loans under the Credit Agreement (taking into account any extensions or refinancings thereof) and (ii) loans under the revolving credit facility accrue interest at a per annum rate equal to, at our election, either a Term SOFR plus an applicable margin of 3.00% or an alternate base rate plus an applicable margin of 2.00%. The other terms and conditions of the Credit Agreement, as amended by Amendment No. 4, remain unchanged.</w:t>
      </w:r>
    </w:p>
    <w:p>
      <w:pPr>
        <w:pStyle w:val="TextBody"/>
        <w:bidi w:val="0"/>
        <w:spacing w:before="0" w:after="0"/>
        <w:ind w:left="0" w:right="0" w:firstLine="648"/>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On August 1, 2025, the Company, as parent guarantor, and TransMontaigne Operating Company L.P., our wholly owned subsidiary, entered into Amendment No. 5 to the Credit Agreement, which provides for, among other things, the reduction of the applicable margin of the senior secured term loans under the Credit Agreement (the “TL Repricing”). After giving effect to the TL Repricing, senior secured term loans under the Credit Agreement accrue interest at a per annum rate equal to, at our election, either Term SOFR plus an applicable margin of 2.5% or an alternate base rate plus an applicable margin of 1.5%. The other terms and conditions of the Credit Agreement, as amended by Amendment No. 5, remain unchanged.</w:t>
      </w:r>
    </w:p>
    <w:p>
      <w:pPr>
        <w:pStyle w:val="TextBody"/>
        <w:bidi w:val="0"/>
        <w:spacing w:before="0" w:after="0"/>
        <w:ind w:left="0" w:right="0" w:firstLine="648"/>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9, 2025, the Company, as parent guarantor, and TransMontaigne Operating Company L.P., our wholly owned subsidiary, made a $170 million prepayment on our senior secured term loans with the proceeds from the sale of the Fisher Island terminal facility (see Note 1 of Notes to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Credit Agreement contains various covenants, including, but not limited to, limitations on the incurrence of indebtedness, permitted investments, liens on assets, making distributions, transactions with affiliates, mergers, consolidations, dispositions of assets and other provisions customary in similar types of agreements. The Credit Agreement requires compliance with (a) a consolidated debt service coverage ratio of no less than 1.1 to 1.0 and (b) if the aggregate outstanding amount of all revolving loans and drawn letters of credit exceeds an amount equal to 35% of the aggregate revolving commitments, a consolidated senior secured net leverage ratio of no greater than 6.75 to 1.00. We were in compliance with all financial covenants as of and during the nine months ended September 30, 2025 and the year ended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were to fail a financial performance covenant, or any other covenant contained in the Credit Agreement, we would seek a waiver from our lenders under such facility. If we were unable to obtain a waiver from our lenders and the default remained uncured after any applicable grace period, we would be in breach of the Credit Agreement, and the lenders would be entitled to declare all outstanding borrowings immediately due and payable.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711"/>
        <w:gridCol w:w="326"/>
        <w:gridCol w:w="232"/>
        <w:gridCol w:w="748"/>
        <w:gridCol w:w="326"/>
        <w:gridCol w:w="199"/>
        <w:gridCol w:w="630"/>
        <w:gridCol w:w="326"/>
        <w:gridCol w:w="196"/>
        <w:gridCol w:w="695"/>
        <w:gridCol w:w="326"/>
        <w:gridCol w:w="252"/>
        <w:gridCol w:w="773"/>
        <w:gridCol w:w="326"/>
        <w:gridCol w:w="208"/>
        <w:gridCol w:w="931"/>
      </w:tblGrid>
      <w:tr>
        <w:trPr/>
        <w:tc>
          <w:tcPr>
            <w:tcW w:w="3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47320" cy="175260"/>
                      <wp:effectExtent l="0" t="0" r="0" b="0"/>
                      <wp:wrapNone/>
                      <wp:docPr id="540" name="Frame54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74980" cy="175260"/>
                      <wp:effectExtent l="0" t="0" r="0" b="0"/>
                      <wp:wrapNone/>
                      <wp:docPr id="541" name="Frame54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26365" cy="175260"/>
                      <wp:effectExtent l="0" t="0" r="0" b="0"/>
                      <wp:wrapNone/>
                      <wp:docPr id="543" name="Frame54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00050" cy="175260"/>
                      <wp:effectExtent l="0" t="0" r="0" b="0"/>
                      <wp:wrapNone/>
                      <wp:docPr id="544" name="Frame544"/>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5" name="Frame5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24460" cy="175260"/>
                      <wp:effectExtent l="0" t="0" r="0" b="0"/>
                      <wp:wrapNone/>
                      <wp:docPr id="546" name="Frame5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41325" cy="175260"/>
                      <wp:effectExtent l="0" t="0" r="0" b="0"/>
                      <wp:wrapNone/>
                      <wp:docPr id="547" name="Frame547"/>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60020" cy="175260"/>
                      <wp:effectExtent l="0" t="0" r="0" b="0"/>
                      <wp:wrapNone/>
                      <wp:docPr id="549" name="Frame54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90855" cy="175260"/>
                      <wp:effectExtent l="0" t="0" r="0" b="0"/>
                      <wp:wrapNone/>
                      <wp:docPr id="550" name="Frame550"/>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2080" cy="175260"/>
                      <wp:effectExtent l="0" t="0" r="0" b="0"/>
                      <wp:wrapNone/>
                      <wp:docPr id="552" name="Frame552"/>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91185" cy="175260"/>
                      <wp:effectExtent l="0" t="0" r="0" b="0"/>
                      <wp:wrapNone/>
                      <wp:docPr id="553" name="Frame5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7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center"/>
              <w:rPr/>
            </w:pPr>
            <w:r>
              <w:rPr/>
              <w:t>​</w:t>
            </w:r>
          </w:p>
        </w:tc>
        <w:tc>
          <w:tcPr>
            <w:tcW w:w="77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w:t>
            </w:r>
          </w:p>
        </w:tc>
      </w:tr>
      <w:tr>
        <w:trPr/>
        <w:tc>
          <w:tcPr>
            <w:tcW w:w="3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0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3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    </w:t>
            </w:r>
          </w:p>
        </w:tc>
        <w:tc>
          <w:tcPr>
            <w:tcW w:w="8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center"/>
              <w:rPr/>
            </w:pPr>
            <w:r>
              <w:rPr/>
              <w:t>    </w:t>
            </w:r>
          </w:p>
        </w:tc>
        <w:tc>
          <w:tcPr>
            <w:tcW w:w="8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    </w:t>
            </w:r>
          </w:p>
        </w:tc>
        <w:tc>
          <w:tcPr>
            <w:tcW w:w="11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3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Financial performance covenant tests:</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74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center"/>
              <w:rPr/>
            </w:pPr>
            <w:r>
              <w:rPr/>
              <w:t>​</w:t>
            </w:r>
          </w:p>
        </w:tc>
        <w:tc>
          <w:tcPr>
            <w:tcW w:w="63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2" w:type="dxa"/>
            <w:tcBorders/>
            <w:shd w:fill="CCEEFF" w:val="clear"/>
            <w:vAlign w:val="center"/>
          </w:tcPr>
          <w:p>
            <w:pPr>
              <w:pStyle w:val="TableContents"/>
              <w:bidi w:val="0"/>
              <w:spacing w:before="0" w:after="0"/>
              <w:ind w:left="0" w:right="0" w:hanging="0"/>
              <w:jc w:val="center"/>
              <w:rPr/>
            </w:pPr>
            <w:r>
              <w:rPr/>
              <w:t>​</w:t>
            </w:r>
          </w:p>
        </w:tc>
        <w:tc>
          <w:tcPr>
            <w:tcW w:w="77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Net earnings (loss) </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11,467</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(7,609)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(12,625)</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(8,259)</w:t>
            </w:r>
          </w:p>
        </w:tc>
        <w:tc>
          <w:tcPr>
            <w:tcW w:w="32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(17,026)</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6,819</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35,891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35,876</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29,728</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108,314</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debt issuance costs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3,216</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2,538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1,271</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3,970</w:t>
            </w:r>
          </w:p>
        </w:tc>
        <w:tc>
          <w:tcPr>
            <w:tcW w:w="32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10,995</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State franchise taxes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512</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506</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480</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1,993</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18,460</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18,026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18,149</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18,066</w:t>
            </w:r>
          </w:p>
        </w:tc>
        <w:tc>
          <w:tcPr>
            <w:tcW w:w="32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72,701</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675</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976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480</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536</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2,667</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One-time expenses (terminal sales, severance payments and legal expenses)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592</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2,118</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3,802</w:t>
            </w:r>
          </w:p>
        </w:tc>
        <w:tc>
          <w:tcPr>
            <w:tcW w:w="32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7,347</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Proportionate share of unconsolidated affiliates' depreciation and amortization </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9,138</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4,313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4,691</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4,529</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22,671</w:t>
            </w:r>
          </w:p>
        </w:tc>
      </w:tr>
      <w:tr>
        <w:trPr/>
        <w:tc>
          <w:tcPr>
            <w:tcW w:w="371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Consolidated EBITDA </w:t>
            </w:r>
            <w:r>
              <w:rPr>
                <w:rFonts w:ascii="Times New Roman;Times;serif" w:hAnsi="Times New Roman;Times;serif"/>
                <w:sz w:val="13"/>
              </w:rPr>
              <w:t>(1)</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50,879</w:t>
            </w:r>
          </w:p>
        </w:tc>
        <w:tc>
          <w:tcPr>
            <w:tcW w:w="326" w:type="dxa"/>
            <w:tcBorders/>
            <w:vAlign w:val="center"/>
          </w:tcPr>
          <w:p>
            <w:pPr>
              <w:pStyle w:val="TableContents"/>
              <w:bidi w:val="0"/>
              <w:spacing w:before="0" w:after="0"/>
              <w:ind w:left="0" w:right="0" w:hanging="0"/>
              <w:jc w:val="righ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55,465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50,466</w:t>
            </w:r>
          </w:p>
        </w:tc>
        <w:tc>
          <w:tcPr>
            <w:tcW w:w="326" w:type="dxa"/>
            <w:tcBorders/>
            <w:vAlign w:val="center"/>
          </w:tcPr>
          <w:p>
            <w:pPr>
              <w:pStyle w:val="TableContents"/>
              <w:bidi w:val="0"/>
              <w:spacing w:before="0" w:after="0"/>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52,852</w:t>
            </w:r>
          </w:p>
        </w:tc>
        <w:tc>
          <w:tcPr>
            <w:tcW w:w="326" w:type="dxa"/>
            <w:tcBorders/>
            <w:vAlign w:val="center"/>
          </w:tcPr>
          <w:p>
            <w:pPr>
              <w:pStyle w:val="TableContents"/>
              <w:bidi w:val="0"/>
              <w:spacing w:before="0" w:after="0"/>
              <w:ind w:left="0" w:right="0" w:hanging="0"/>
              <w:jc w:val="righ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209,662</w:t>
            </w:r>
          </w:p>
        </w:tc>
      </w:tr>
      <w:tr>
        <w:trPr/>
        <w:tc>
          <w:tcPr>
            <w:tcW w:w="37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Maintenance capital</w:t>
            </w: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(9,705)</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(8,801)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(9,974)</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(8,761)</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(37,241)</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for the consolidated debt service coverage ratio</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41,174</w:t>
            </w:r>
          </w:p>
        </w:tc>
        <w:tc>
          <w:tcPr>
            <w:tcW w:w="326" w:type="dxa"/>
            <w:tcBorders/>
            <w:vAlign w:val="center"/>
          </w:tcPr>
          <w:p>
            <w:pPr>
              <w:pStyle w:val="TableContents"/>
              <w:bidi w:val="0"/>
              <w:spacing w:before="0" w:after="0"/>
              <w:ind w:left="0" w:right="0" w:hanging="0"/>
              <w:jc w:val="righ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46,664</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40,492</w:t>
            </w:r>
          </w:p>
        </w:tc>
        <w:tc>
          <w:tcPr>
            <w:tcW w:w="326" w:type="dxa"/>
            <w:tcBorders/>
            <w:vAlign w:val="center"/>
          </w:tcPr>
          <w:p>
            <w:pPr>
              <w:pStyle w:val="TableContents"/>
              <w:bidi w:val="0"/>
              <w:spacing w:before="0" w:after="0"/>
              <w:ind w:left="0" w:right="0" w:hanging="0"/>
              <w:jc w:val="righ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44,091</w:t>
            </w:r>
          </w:p>
        </w:tc>
        <w:tc>
          <w:tcPr>
            <w:tcW w:w="326" w:type="dxa"/>
            <w:tcBorders/>
            <w:vAlign w:val="center"/>
          </w:tcPr>
          <w:p>
            <w:pPr>
              <w:pStyle w:val="TableContents"/>
              <w:bidi w:val="0"/>
              <w:spacing w:before="0" w:after="0"/>
              <w:ind w:left="0" w:right="0" w:hanging="0"/>
              <w:jc w:val="righ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172,421</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Debt service:</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expense</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6,819</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35,891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35,876</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29,728</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108,314</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Unrealized gain (loss) on interest rate swap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17,715</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(9,916)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(6,555)</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(1,516)</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(272)</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Scheduled principal payments</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2,884</w:t>
            </w:r>
          </w:p>
        </w:tc>
        <w:tc>
          <w:tcPr>
            <w:tcW w:w="326" w:type="dxa"/>
            <w:tcBorders/>
            <w:vAlign w:val="center"/>
          </w:tcPr>
          <w:p>
            <w:pPr>
              <w:pStyle w:val="TableContents"/>
              <w:bidi w:val="0"/>
              <w:spacing w:before="0" w:after="0"/>
              <w:ind w:left="0" w:right="0" w:hanging="0"/>
              <w:jc w:val="righ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2,884</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2,883</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8,651</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Total </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27,418</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28,859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32,204</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28,212</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116,693</w:t>
            </w:r>
          </w:p>
        </w:tc>
      </w:tr>
      <w:tr>
        <w:trPr/>
        <w:tc>
          <w:tcPr>
            <w:tcW w:w="3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Credit Agreement consolidated debt service coverage ratio (&gt;1.1x)</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1.48</w:t>
            </w:r>
          </w:p>
        </w:tc>
      </w:tr>
      <w:tr>
        <w:trPr/>
        <w:tc>
          <w:tcPr>
            <w:tcW w:w="3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Consolidated senior secured net leverage ratio test: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Senior secured term loans outstanding </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1,113,082</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Revolving credit facility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7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Less cash and cash equivalents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(53,598)</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Senior secured debt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1,059,484</w:t>
            </w:r>
          </w:p>
        </w:tc>
      </w:tr>
      <w:tr>
        <w:trPr/>
        <w:tc>
          <w:tcPr>
            <w:tcW w:w="3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7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7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Consolidated senior secured net leverage ratio (&lt;6.75x)</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48" w:hanging="0"/>
              <w:jc w:val="right"/>
              <w:rPr>
                <w:rFonts w:ascii="Times New Roman;Times;serif" w:hAnsi="Times New Roman;Times;serif"/>
                <w:b/>
                <w:sz w:val="17"/>
              </w:rPr>
            </w:pPr>
            <w:r>
              <w:rPr>
                <w:rFonts w:ascii="Times New Roman;Times;serif" w:hAnsi="Times New Roman;Times;serif"/>
                <w:b/>
                <w:sz w:val="17"/>
              </w:rPr>
              <w:t>5.05</w:t>
            </w:r>
          </w:p>
        </w:tc>
      </w:tr>
    </w:tbl>
    <w:tbl>
      <w:tblPr>
        <w:tblW w:w="9381" w:type="dxa"/>
        <w:jc w:val="left"/>
        <w:tblInd w:w="0" w:type="dxa"/>
        <w:tblLayout w:type="fixed"/>
        <w:tblCellMar>
          <w:top w:w="28" w:type="dxa"/>
          <w:left w:w="28" w:type="dxa"/>
          <w:bottom w:w="28" w:type="dxa"/>
          <w:right w:w="28" w:type="dxa"/>
        </w:tblCellMar>
      </w:tblPr>
      <w:tblGrid>
        <w:gridCol w:w="124"/>
        <w:gridCol w:w="271"/>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Reflects the calculation of Consolidated EBITDA in accordance with the definition in the Credit Agreement.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Senior notes.</w:t>
      </w:r>
      <w:r>
        <w:rPr>
          <w:rFonts w:ascii="Times New Roman;Times;serif" w:hAnsi="Times New Roman;Times;serif"/>
          <w:sz w:val="20"/>
        </w:rPr>
        <w:t xml:space="preserve"> On February 12, 2018, the Company and TLP Finance Corp., our wholly owned subsidiary, issued at par $300 million of 6.125% senior notes, due in 2026. On February 21, 2025, the Company closed on our offering of $500 million aggregate principal amount of 8.500% senior unsecured notes due in 2030 at an issue price of 100% in a private offering that is exempt from the registration requirements of the Securities Act of 1933, as amended. The senior unsecured notes are guaranteed on a senior unsecured basis by all of the Company’s subsidiaries that guarantee our Credit Agreement. Proceeds from the $500 million senior unsecured notes were used to redeem all of our 6.125% senior notes due in 2026 of approximately $299.9 million, fund distributions to TLP Finance Holdings, LLC of approximately $172.8 million to repay TLP Finance Holdings, LLC’s term loan due in 2025 and fees and expenses in connection with the transaction, repay borrowings under our revolving credit facility of approximately $4.0 million, and approximately $9.2 million of debt issuance costs, with the remainder used for general corporate purposes.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voluntarily filing with the Securities and Exchange Commission pursuant to the covenants contained in the 6.125% senior notes and beginning February 21, 2025, the 8.500% senior unsecured notes. These notes contain customary covenants (including those relating to our voluntary filing of this Quarterly Report on Form 10-Q and certain restrictions and obligations with respect to types of payments we may make, indebtedness we may incur, transactions we may pursue, or changes in our control) and customary events of default (including those relating to monetary defaults, covenant defaults, cross defaults and bankruptcy events). We may, at any time and from time to time, seek to retire or purchase our outstanding debt through cash purchases, open-market purchases, privately negotiated transactions or otherwise. Such repurchases, if any, will be upon such terms and at such prices as we may determine, and will depend on prevailing market conditions, our liquidity requirements, contractual restrictions and other factors. The amounts involved may be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90" w:name="ITEM3QUANTITATIVEANDQUALITATIVE_142176"/>
      <w:bookmarkStart w:id="1191" w:name="_f382599d_b097_48a9_8178_4d6064e7e1c0"/>
      <w:bookmarkEnd w:id="1190"/>
      <w:bookmarkEnd w:id="1191"/>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contained in this Item 3 updates, and should be read in conjunction with, information set forth in Part II, Item 7A of our Annual Report on Form 10-K, filed with the Securities and Exchange Commission on March 27, 2025 in addition to the interim unaudited consolidated financial statements, accompanying notes and Management’s Discussion and Analysis of Financial Condition and Results of Operations presented in Part 1, Items 1 and 2 of this Quarterly Report on Form 10-Q. There are no material changes in the market risks faced by us from those reported in our Annual Report on Form 10-K for the year ended December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Market risk is the risk of loss arising from adverse changes in market rates and prices. A principal market risk to which we are exposed is interest rate risk associated with borrowings under the Credit Agreement. Borrowings under the Credit Agreement bear interest at either a Term SOFR plus 0.11448% (subject to a 0.50% floor) plus an applicable margin of 3.50% or an alternate base rate plus an applicable margin of 2.50% per annum through October 27, 2024. On October 28, 2024, the Company entered into an amendment to the Credit Agreement, which provides for, among other things, (i) the reduction of the applicable margin of the senior secured term loans under the Credit Agreement (the “Repricing”) and (ii) the removal of the credit spread adjustment from the Term SOFR applicable to the senior secured term loans under the Credit Agreement. After giving effect to the Repricing and the removal of the credit spread adjustment, senior secured term loans under the Credit Agreement accrue interest at a per annum rate equal to, at our election, either a Term SOFR plus an applicable margin of 3.25% or an alternate base rate plus an applicable margin of 2.25%.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5, 2025, the Company, as parent guarantor, and TransMontaigne Operating Company L.P., our wholly owned subsidiary, entered into Amendment No. 4 to the Credit Agreement, which provides for, among other things, (i) the extension of the maturity date with respect to the revolving credit facility (the “Extension”) and (ii) the reduction of the applicable margin of the loans under the revolving credit facility (the “RCF Repricing”). After giving effect to the Extension and RCF Repricing, (i) the maturity date of the revolving credit facility shall be the earlier of August 31, 2029 or, to the extent that any senior secured term loans under the Credit Agreement remain outstanding, the date that is ninety-one (91) days prior to the maturity date of such senior secured term loans under the Credit Agreement (taking into account any extensions or refinancings thereof) and (ii) loans under the revolving credit facility accrue interest at a per annum rate equal to, at our election, either a Term SOFR plus an applicable margin of 3.00% or an alternate base rate plus an applicable margin of 2.00%. The other terms and conditions of the credit facility, as amended by the amendments, remain unchanged. </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On August 1, 2025, the Company, as parent guarantor, and TransMontaigne Operating Company L.P., our wholly owned subsidiary, entered into Amendment No. 5 to the Credit Agreement, which provides for, among other things, the reduction of the applicable margin of the senior secured term loans under the Credit Agreement (the “TL Repricing”). After giving effect to the TL Repricing, senior secured term loans under the Credit Agreement accrue interest at a per annum rate equal to, at our election, either Term SOFR plus an applicable margin of 2.5% or an alternate base rate plus an applicable margin of 1.5%. The other terms and conditions of the Credit Agreement, as amended by Amendment No. 5, remain unchanged.</w:t>
      </w:r>
    </w:p>
    <w:p>
      <w:pPr>
        <w:pStyle w:val="TextBody"/>
        <w:bidi w:val="0"/>
        <w:spacing w:before="0" w:after="0"/>
        <w:ind w:left="0" w:right="0" w:firstLine="648"/>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manage a portion of our interest rate risk with interest rate swaps, which reduce our exposure to changes in interest rates by converting variable interest rates to fixed interest rates. At September 30, 2025, $780 million of our outstanding borrowings under the Credit Agreement was converted from variable interest rates to fixed interest rates with interest rate swap agreements, the majority of which expire through August 18, 2028. Pursuant to the terms of the interest rate swap agreements, we pay a blended fixed rate and receive interest payments based the one-month Term SOFR or OIS compound SOFR. The net difference to be paid or received under the interest rate swap agreements will be settled monthly and recognized as an adjustment to interest expense. At September 30, 2025, we had outstanding borrowings of $1,113.1 million under the Credit Agreement. Based on the outstanding balance of our variable-interest-rate debt, assuming market interest rates increase or decrease by 100 basis points, the potential annual increase or decrease in interest expense is approximately $3.3 million.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sell refined and renewable products to major fuel producers and marketers in the Pacific Northwest at our terminal in Tacoma, Washington. Our direct exposure to changes in commodity prices is limited to these product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the value of product gains and losses arising from terminaling services agreements with certain customers, which accounts for a small portion of our revenue. We do not use derivative commodity instruments to manage the commodity risk associated with the product we may own at any given time.</w:t>
      </w:r>
    </w:p>
    <w:p>
      <w:pPr>
        <w:pStyle w:val="TextBody"/>
        <w:bidi w:val="0"/>
        <w:spacing w:before="0" w:after="240"/>
        <w:ind w:left="0" w:right="0" w:hanging="0"/>
        <w:jc w:val="left"/>
        <w:rPr>
          <w:rFonts w:ascii="Times New Roman;Times;serif" w:hAnsi="Times New Roman;Times;serif"/>
          <w:b/>
          <w:sz w:val="20"/>
        </w:rPr>
      </w:pPr>
      <w:bookmarkStart w:id="1192" w:name="ITEM4CONTROLSANDPROCEDURES_189999"/>
      <w:bookmarkStart w:id="1193" w:name="_719f87ec_c402_452f_85f5_22d6bde5de54"/>
      <w:bookmarkEnd w:id="1192"/>
      <w:bookmarkEnd w:id="1193"/>
      <w:r>
        <w:rPr>
          <w:rFonts w:ascii="Times New Roman;Times;serif" w:hAnsi="Times New Roman;Times;serif"/>
          <w:b/>
          <w:sz w:val="20"/>
        </w:rPr>
        <w:t>ITEM 4.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by us in the reports that we file or submit to the Securities and Exchange Commission under the Securities Exchange Act of 1934, as amended, is recorded, processed, summarized and reported within the time periods specified by the Commission’s rules and forms, and that information is accumulated and communicated to the management of the Company, including the Company’s principal executive and principal financial officer (whom we refer to as the Certifying Officers), as appropriate to allow timely decisions regarding required disclosure. The management of the Company evaluated, with the participation of the Certifying Officers, the effectiveness of our disclosure controls and procedures as of September 30, 2025, pursuant to Rule 13a-15(b) under the Exchange Act. Based upon that evaluation, the Certifying Officers concluded that, as of September 30, 2025, our disclosure controls and procedures were effective. There were no changes in our internal control over financial reporting that occurred during our most recently completed fiscal quarter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194" w:name="PartIIOtherInformation_593739"/>
      <w:bookmarkStart w:id="1195" w:name="_82c03ed8_f6ea_4a75_815c_c296732e4b7e"/>
      <w:bookmarkEnd w:id="1194"/>
      <w:bookmarkEnd w:id="1195"/>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196" w:name="ITEM1LEGALPROCEEDINGS"/>
      <w:bookmarkStart w:id="1197" w:name="_0f073cec_dcea_44ed_bdb3_21c49c512b58"/>
      <w:bookmarkEnd w:id="1196"/>
      <w:bookmarkEnd w:id="1197"/>
      <w:r>
        <w:rPr>
          <w:rFonts w:ascii="Times New Roman;Times;serif" w:hAnsi="Times New Roman;Times;serif"/>
          <w:b/>
          <w:sz w:val="20"/>
        </w:rPr>
        <w:t xml:space="preserve">ITEM 1. LEGAL PROCEEDINGS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See Part I, Item 1, Note 14 to our unaudited consolidated financial statements entitled “Legal proceedings” which is incorporated into this item by reference.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98" w:name="ITEM1ARISKFACTORS_257026"/>
      <w:bookmarkStart w:id="1199" w:name="_083d591c_667d_44da_8633_3bf69efe2904"/>
      <w:bookmarkEnd w:id="1198"/>
      <w:bookmarkEnd w:id="1199"/>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176" w:after="132"/>
        <w:ind w:left="0" w:right="0" w:firstLine="720"/>
        <w:jc w:val="left"/>
        <w:rPr>
          <w:rFonts w:ascii="Times New Roman;Times;serif" w:hAnsi="Times New Roman;Times;serif"/>
          <w:sz w:val="20"/>
        </w:rPr>
      </w:pPr>
      <w:bookmarkStart w:id="1200" w:name="item_1_3_7"/>
      <w:bookmarkStart w:id="1201" w:name="s8301ce4a48895f20a03a367165e93fc"/>
      <w:bookmarkEnd w:id="1200"/>
      <w:bookmarkEnd w:id="1201"/>
      <w:r>
        <w:rPr>
          <w:rFonts w:ascii="Times New Roman;Times;serif" w:hAnsi="Times New Roman;Times;serif"/>
          <w:sz w:val="20"/>
        </w:rPr>
        <w:t xml:space="preserve">In addition to the other information set forth in this report, you should carefully consider the risk factors and other cautionary statements described under the heading “Item 1A. Risk Factors” included in our Annual Report on Form 10-K filed on March 27, 2025, which could materially affect our business, financial condition, or future results. Additional risks and uncertainties not currently known to us or that we currently deem to be immaterial also may materially adversely affect our business, financial condition, or future results.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have been no material changes from risk factors as previously disclosed in our Annual Report on Form 10-K for the year ended December 31, 2024, filed on March 27,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02" w:name="ITEM6EXHIBITS_962"/>
      <w:bookmarkStart w:id="1203" w:name="_380dd4a3_959d_4dc2_bffa_a369a48b68af"/>
      <w:bookmarkEnd w:id="1202"/>
      <w:bookmarkEnd w:id="1203"/>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676"/>
        <w:gridCol w:w="326"/>
        <w:gridCol w:w="9203"/>
      </w:tblGrid>
      <w:tr>
        <w:trPr/>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29260" cy="29210"/>
                      <wp:effectExtent l="0" t="0" r="0" b="0"/>
                      <wp:wrapNone/>
                      <wp:docPr id="554" name="Frame554"/>
                      <a:graphic xmlns:a="http://schemas.openxmlformats.org/drawingml/2006/main">
                        <a:graphicData uri="http://schemas.microsoft.com/office/word/2010/wordprocessingShape">
                          <wps:wsp>
                            <wps:cNvSpPr txBox="1"/>
                            <wps:spPr>
                              <a:xfrm>
                                <a:off x="0" y="0"/>
                                <a:ext cx="429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29210"/>
                      <wp:effectExtent l="0" t="0" r="0" b="0"/>
                      <wp:wrapNone/>
                      <wp:docPr id="555" name="Frame555"/>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843905" cy="29210"/>
                      <wp:effectExtent l="0" t="0" r="0" b="0"/>
                      <wp:wrapNone/>
                      <wp:docPr id="556" name="Frame556"/>
                      <a:graphic xmlns:a="http://schemas.openxmlformats.org/drawingml/2006/main">
                        <a:graphicData uri="http://schemas.microsoft.com/office/word/2010/wordprocessingShape">
                          <wps:wsp>
                            <wps:cNvSpPr txBox="1"/>
                            <wps:spPr>
                              <a:xfrm>
                                <a:off x="0" y="0"/>
                                <a:ext cx="5843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exhibits</w:t>
            </w:r>
          </w:p>
        </w:tc>
      </w:tr>
      <w:tr>
        <w:trPr/>
        <w:tc>
          <w:tcPr>
            <w:tcW w:w="676" w:type="dxa"/>
            <w:tcBorders/>
            <w:vAlign w:val="center"/>
          </w:tcPr>
          <w:p>
            <w:pPr>
              <w:pStyle w:val="TableContents"/>
              <w:pBdr/>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80" w:after="0"/>
              <w:ind w:left="0" w:right="0" w:hanging="0"/>
              <w:jc w:val="left"/>
              <w:rPr/>
            </w:pPr>
            <w:r>
              <w:rPr/>
              <w:t>​</w:t>
            </w:r>
          </w:p>
        </w:tc>
        <w:tc>
          <w:tcPr>
            <w:tcW w:w="9203" w:type="dxa"/>
            <w:tcBorders/>
            <w:vAlign w:val="center"/>
          </w:tcPr>
          <w:p>
            <w:pPr>
              <w:pStyle w:val="TableContents"/>
              <w:bidi w:val="0"/>
              <w:spacing w:before="80" w:after="0"/>
              <w:ind w:left="0" w:right="0" w:hanging="0"/>
              <w:jc w:val="left"/>
              <w:rPr/>
            </w:pPr>
            <w:hyperlink w:anchor="tmb-202509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676" w:type="dxa"/>
            <w:tcBorders/>
            <w:vAlign w:val="center"/>
          </w:tcPr>
          <w:p>
            <w:pPr>
              <w:pStyle w:val="TableContents"/>
              <w:pBdr/>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80" w:after="0"/>
              <w:ind w:left="0" w:right="0" w:hanging="0"/>
              <w:jc w:val="left"/>
              <w:rPr/>
            </w:pPr>
            <w:r>
              <w:rPr/>
              <w:t>​</w:t>
            </w:r>
          </w:p>
        </w:tc>
        <w:tc>
          <w:tcPr>
            <w:tcW w:w="9203" w:type="dxa"/>
            <w:tcBorders/>
            <w:vAlign w:val="center"/>
          </w:tcPr>
          <w:p>
            <w:pPr>
              <w:pStyle w:val="TableContents"/>
              <w:bidi w:val="0"/>
              <w:spacing w:before="80" w:after="0"/>
              <w:ind w:left="0" w:right="0" w:hanging="0"/>
              <w:jc w:val="left"/>
              <w:rPr/>
            </w:pPr>
            <w:hyperlink w:anchor="tmb-202509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676" w:type="dxa"/>
            <w:tcBorders/>
            <w:vAlign w:val="center"/>
          </w:tcPr>
          <w:p>
            <w:pPr>
              <w:pStyle w:val="TableContents"/>
              <w:pBdr/>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80" w:after="0"/>
              <w:ind w:left="0" w:right="0" w:hanging="0"/>
              <w:jc w:val="left"/>
              <w:rPr/>
            </w:pPr>
            <w:r>
              <w:rPr/>
              <w:t>​</w:t>
            </w:r>
          </w:p>
        </w:tc>
        <w:tc>
          <w:tcPr>
            <w:tcW w:w="9203" w:type="dxa"/>
            <w:tcBorders/>
            <w:vAlign w:val="center"/>
          </w:tcPr>
          <w:p>
            <w:pPr>
              <w:pStyle w:val="TableContents"/>
              <w:bidi w:val="0"/>
              <w:spacing w:before="80" w:after="0"/>
              <w:ind w:left="0" w:right="0" w:hanging="0"/>
              <w:jc w:val="left"/>
              <w:rPr/>
            </w:pPr>
            <w:hyperlink w:anchor="tmb-202509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676" w:type="dxa"/>
            <w:tcBorders/>
            <w:vAlign w:val="center"/>
          </w:tcPr>
          <w:p>
            <w:pPr>
              <w:pStyle w:val="TableContents"/>
              <w:pBdr/>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80" w:after="0"/>
              <w:ind w:left="0" w:right="0" w:hanging="0"/>
              <w:jc w:val="left"/>
              <w:rPr/>
            </w:pPr>
            <w:r>
              <w:rPr/>
              <w:t>​</w:t>
            </w:r>
          </w:p>
        </w:tc>
        <w:tc>
          <w:tcPr>
            <w:tcW w:w="9203" w:type="dxa"/>
            <w:tcBorders/>
            <w:vAlign w:val="center"/>
          </w:tcPr>
          <w:p>
            <w:pPr>
              <w:pStyle w:val="TableContents"/>
              <w:bidi w:val="0"/>
              <w:spacing w:before="80" w:after="0"/>
              <w:ind w:left="0" w:right="0" w:hanging="0"/>
              <w:jc w:val="left"/>
              <w:rPr/>
            </w:pPr>
            <w:hyperlink w:anchor="tmb-202509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676" w:type="dxa"/>
            <w:tcBorders/>
            <w:vAlign w:val="center"/>
          </w:tcPr>
          <w:p>
            <w:pPr>
              <w:pStyle w:val="TableContents"/>
              <w:pBdr/>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80" w:after="0"/>
              <w:ind w:left="0" w:right="0" w:hanging="0"/>
              <w:jc w:val="left"/>
              <w:rPr/>
            </w:pPr>
            <w:r>
              <w:rPr/>
              <w:t>​</w:t>
            </w:r>
          </w:p>
        </w:tc>
        <w:tc>
          <w:tcPr>
            <w:tcW w:w="9203" w:type="dxa"/>
            <w:tcBorders/>
            <w:vAlign w:val="center"/>
          </w:tcPr>
          <w:p>
            <w:pPr>
              <w:pStyle w:val="TableContents"/>
              <w:bidi w:val="0"/>
              <w:spacing w:before="80" w:after="0"/>
              <w:ind w:left="0" w:right="0" w:hanging="0"/>
              <w:jc w:val="left"/>
              <w:rPr>
                <w:rFonts w:ascii="Times New Roman;Times;serif" w:hAnsi="Times New Roman;Times;serif"/>
                <w:sz w:val="20"/>
              </w:rPr>
            </w:pPr>
            <w:r>
              <w:rPr>
                <w:rFonts w:ascii="Times New Roman;Times;serif" w:hAnsi="Times New Roman;Times;serif"/>
                <w:sz w:val="20"/>
              </w:rPr>
              <w:t>The following financial information from the Quarterly Report on Form 10-Q of TransMontaigne Partners LLC and subsidiaries for the quarter ended September 30, 2025, formatted in iXBRL (Inline eXtensible Business Reporting Language): (i) consolidated balance sheets, (ii) consolidated statements of operations, (iii) consolidated statements of equity, (iv) consolidated statements of cash flows and (v) notes to consolidated financial statements.</w:t>
            </w:r>
          </w:p>
        </w:tc>
      </w:tr>
      <w:tr>
        <w:trPr/>
        <w:tc>
          <w:tcPr>
            <w:tcW w:w="676" w:type="dxa"/>
            <w:tcBorders/>
            <w:vAlign w:val="center"/>
          </w:tcPr>
          <w:p>
            <w:pPr>
              <w:pStyle w:val="TableContents"/>
              <w:pBdr/>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80" w:after="0"/>
              <w:ind w:left="0" w:right="0" w:hanging="0"/>
              <w:jc w:val="left"/>
              <w:rPr/>
            </w:pPr>
            <w:r>
              <w:rPr/>
              <w:t>​</w:t>
            </w:r>
          </w:p>
        </w:tc>
        <w:tc>
          <w:tcPr>
            <w:tcW w:w="9203" w:type="dxa"/>
            <w:tcBorders/>
            <w:vAlign w:val="center"/>
          </w:tcPr>
          <w:p>
            <w:pPr>
              <w:pStyle w:val="TableContents"/>
              <w:bidi w:val="0"/>
              <w:spacing w:before="8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204" w:name="SIGNATURES_661020"/>
      <w:bookmarkStart w:id="1205" w:name="_cc75b56f_605d_4fc2_9fbd_a0642e9adf72"/>
      <w:bookmarkEnd w:id="1204"/>
      <w:bookmarkEnd w:id="1205"/>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16" w:type="dxa"/>
        <w:jc w:val="left"/>
        <w:tblInd w:w="0" w:type="dxa"/>
        <w:tblLayout w:type="fixed"/>
        <w:tblCellMar>
          <w:top w:w="0" w:type="dxa"/>
          <w:left w:w="0" w:type="dxa"/>
          <w:bottom w:w="0" w:type="dxa"/>
          <w:right w:w="0" w:type="dxa"/>
        </w:tblCellMar>
      </w:tblPr>
      <w:tblGrid>
        <w:gridCol w:w="2206"/>
        <w:gridCol w:w="526"/>
        <w:gridCol w:w="2684"/>
      </w:tblGrid>
      <w:tr>
        <w:trPr/>
        <w:tc>
          <w:tcPr>
            <w:tcW w:w="220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2684" w:type="dxa"/>
            <w:tcBorders/>
            <w:vAlign w:val="center"/>
          </w:tcPr>
          <w:p>
            <w:pPr>
              <w:pStyle w:val="TableContents"/>
              <w:bidi w:val="0"/>
              <w:spacing w:before="0" w:after="20"/>
              <w:ind w:left="0" w:right="0" w:hanging="0"/>
              <w:jc w:val="center"/>
              <w:rPr/>
            </w:pPr>
            <w:r>
              <w:rPr/>
              <w:t>​</w:t>
            </w:r>
            <w:r>
              <w:rPr>
                <w:rFonts w:ascii="Times New Roman;Times;serif" w:hAnsi="Times New Roman;Times;serif"/>
                <w:sz w:val="20"/>
              </w:rPr>
              <w:br/>
            </w:r>
            <w:r>
              <w:rPr>
                <w:rFonts w:ascii="Times New Roman;Times;serif" w:hAnsi="Times New Roman;Times;serif"/>
                <w:i/>
                <w:sz w:val="20"/>
              </w:rPr>
              <w:t>Chief Executive Officer</w:t>
            </w:r>
          </w:p>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TransMontaigne Partners LLC</w:t>
            </w:r>
          </w:p>
        </w:tc>
      </w:tr>
      <w:tr>
        <w:trPr/>
        <w:tc>
          <w:tcPr>
            <w:tcW w:w="2206" w:type="dxa"/>
            <w:tcBorders/>
            <w:vAlign w:val="center"/>
          </w:tcPr>
          <w:p>
            <w:pPr>
              <w:pStyle w:val="TableContents"/>
              <w:pBdr/>
              <w:bidi w:val="0"/>
              <w:spacing w:before="0" w:after="0"/>
              <w:ind w:left="0" w:right="0" w:hanging="0"/>
              <w:jc w:val="left"/>
              <w:rPr/>
            </w:pPr>
            <w:r>
              <w:rPr/>
              <w:t>​</w:t>
            </w:r>
          </w:p>
        </w:tc>
        <w:tc>
          <w:tcPr>
            <w:tcW w:w="3210" w:type="dxa"/>
            <w:gridSpan w:val="2"/>
            <w:tcBorders/>
            <w:vAlign w:val="center"/>
          </w:tcPr>
          <w:p>
            <w:pPr>
              <w:pStyle w:val="TableContents"/>
              <w:bidi w:val="0"/>
              <w:spacing w:before="0" w:after="0"/>
              <w:ind w:left="0" w:right="0" w:hanging="0"/>
              <w:jc w:val="left"/>
              <w:rPr>
                <w:smallCaps/>
              </w:rPr>
            </w:pPr>
            <w:r>
              <w:rPr>
                <w:smallCaps/>
              </w:rPr>
              <w:t>​</w:t>
            </w:r>
          </w:p>
        </w:tc>
      </w:tr>
      <w:tr>
        <w:trPr/>
        <w:tc>
          <w:tcPr>
            <w:tcW w:w="2206" w:type="dxa"/>
            <w:tcBorders/>
            <w:vAlign w:val="center"/>
          </w:tcPr>
          <w:p>
            <w:pPr>
              <w:pStyle w:val="TableContents"/>
              <w:pBdr/>
              <w:bidi w:val="0"/>
              <w:spacing w:before="0" w:after="0"/>
              <w:ind w:left="0" w:right="0" w:hanging="0"/>
              <w:jc w:val="left"/>
              <w:rPr/>
            </w:pPr>
            <w:r>
              <w:rPr/>
              <w:t>​</w:t>
            </w:r>
          </w:p>
        </w:tc>
        <w:tc>
          <w:tcPr>
            <w:tcW w:w="321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pBdr/>
              <w:bidi w:val="0"/>
              <w:spacing w:before="0" w:after="0"/>
              <w:ind w:left="0" w:right="0" w:hanging="0"/>
              <w:jc w:val="left"/>
              <w:rPr/>
            </w:pPr>
            <w:r>
              <w:rPr/>
              <w:t>​</w:t>
            </w:r>
          </w:p>
        </w:tc>
        <w:tc>
          <w:tcPr>
            <w:tcW w:w="3210"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0"/>
              <w:ind w:left="0" w:right="0" w:hanging="0"/>
              <w:jc w:val="left"/>
              <w:rPr/>
            </w:pPr>
            <w:r>
              <w:rPr/>
              <w:t>​</w:t>
            </w:r>
          </w:p>
        </w:tc>
        <w:tc>
          <w:tcPr>
            <w:tcW w:w="3210"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20"/>
              <w:ind w:left="0" w:right="0" w:hanging="0"/>
              <w:jc w:val="left"/>
              <w:rPr/>
            </w:pPr>
            <w:r>
              <w:rPr/>
              <w:t>​</w:t>
            </w:r>
          </w:p>
        </w:tc>
        <w:tc>
          <w:tcPr>
            <w:tcW w:w="52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2684" w:type="dxa"/>
            <w:tcBorders/>
            <w:vAlign w:val="center"/>
          </w:tcPr>
          <w:p>
            <w:pPr>
              <w:pStyle w:val="TableContents"/>
              <w:pBdr>
                <w:bottom w:val="single" w:sz="2" w:space="1" w:color="000000"/>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smallCaps/>
                <w:sz w:val="20"/>
              </w:rPr>
              <w:t>/ Jesse Arenivas</w:t>
            </w:r>
          </w:p>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Jesse Arenivas</w:t>
              <w:br/>
            </w:r>
            <w:r>
              <w:rPr>
                <w:rFonts w:ascii="Times New Roman;Times;serif" w:hAnsi="Times New Roman;Times;serif"/>
                <w:i/>
                <w:sz w:val="20"/>
              </w:rPr>
              <w:t>Chief Executive Officer</w:t>
            </w:r>
          </w:p>
        </w:tc>
      </w:tr>
      <w:tr>
        <w:trPr/>
        <w:tc>
          <w:tcPr>
            <w:tcW w:w="2206" w:type="dxa"/>
            <w:tcBorders/>
            <w:vAlign w:val="center"/>
          </w:tcPr>
          <w:p>
            <w:pPr>
              <w:pStyle w:val="TableContents"/>
              <w:pBdr/>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2684" w:type="dxa"/>
            <w:tcBorders/>
            <w:vAlign w:val="center"/>
          </w:tcPr>
          <w:p>
            <w:pPr>
              <w:pStyle w:val="TableContents"/>
              <w:bidi w:val="0"/>
              <w:spacing w:before="0" w:after="0"/>
              <w:ind w:left="0" w:right="0" w:hanging="0"/>
              <w:jc w:val="center"/>
              <w:rPr/>
            </w:pPr>
            <w:r>
              <w:rPr/>
              <w:t>​</w:t>
            </w:r>
          </w:p>
        </w:tc>
      </w:tr>
      <w:tr>
        <w:trPr/>
        <w:tc>
          <w:tcPr>
            <w:tcW w:w="2206" w:type="dxa"/>
            <w:tcBorders/>
            <w:vAlign w:val="center"/>
          </w:tcPr>
          <w:p>
            <w:pPr>
              <w:pStyle w:val="TableContents"/>
              <w:pBdr/>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2684" w:type="dxa"/>
            <w:tcBorders/>
            <w:vAlign w:val="center"/>
          </w:tcPr>
          <w:p>
            <w:pPr>
              <w:pStyle w:val="TableContents"/>
              <w:bidi w:val="0"/>
              <w:spacing w:before="0" w:after="0"/>
              <w:ind w:left="0" w:right="0" w:hanging="0"/>
              <w:jc w:val="center"/>
              <w:rPr/>
            </w:pPr>
            <w:r>
              <w:rPr/>
              <w:t>​</w:t>
            </w:r>
          </w:p>
        </w:tc>
      </w:tr>
      <w:tr>
        <w:trPr/>
        <w:tc>
          <w:tcPr>
            <w:tcW w:w="2206" w:type="dxa"/>
            <w:tcBorders/>
            <w:vAlign w:val="center"/>
          </w:tcPr>
          <w:p>
            <w:pPr>
              <w:pStyle w:val="TableContents"/>
              <w:pBdr/>
              <w:bidi w:val="0"/>
              <w:spacing w:before="0" w:after="20"/>
              <w:ind w:left="0" w:right="0" w:hanging="0"/>
              <w:jc w:val="left"/>
              <w:rPr/>
            </w:pPr>
            <w:r>
              <w:rPr/>
              <w:t>​</w:t>
            </w:r>
          </w:p>
        </w:tc>
        <w:tc>
          <w:tcPr>
            <w:tcW w:w="52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2684" w:type="dxa"/>
            <w:tcBorders/>
            <w:vAlign w:val="center"/>
          </w:tcPr>
          <w:p>
            <w:pPr>
              <w:pStyle w:val="TableContents"/>
              <w:pBdr>
                <w:bottom w:val="single" w:sz="2" w:space="1" w:color="000000"/>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Robert T. Fuller</w:t>
            </w:r>
          </w:p>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Robert T. Fuller</w:t>
              <w:br/>
            </w: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120"/>
        <w:ind w:left="0" w:right="0" w:hanging="0"/>
        <w:jc w:val="right"/>
        <w:rPr>
          <w:rFonts w:ascii="Times New Roman;Times;serif" w:hAnsi="Times New Roman;Times;serif"/>
          <w:b/>
          <w:sz w:val="20"/>
        </w:rPr>
      </w:pPr>
      <w:bookmarkStart w:id="1206" w:name="tmb-20250930xex31d1.htm"/>
      <w:bookmarkStart w:id="1207" w:name="kstmb20250930xex31d1"/>
      <w:bookmarkEnd w:id="1206"/>
      <w:bookmarkEnd w:id="1207"/>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12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I, Jesse Arenivas, Chief Executive Officer of TransMontaigne Partners LLC, a Delaware limited liability company (the “registrant”), certify that: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TransMontaigne Partners LLC for the fiscal quarter ended September 30, 2025;</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169" w:type="dxa"/>
        <w:jc w:val="center"/>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lineRule="auto" w:line="285" w:before="0" w:after="0"/>
              <w:ind w:left="0" w:right="0" w:hanging="0"/>
              <w:jc w:val="left"/>
              <w:rPr/>
            </w:pPr>
            <w:r>
              <w:rPr/>
              <w:t>​</w:t>
            </w:r>
          </w:p>
        </w:tc>
      </w:tr>
      <w:tr>
        <w:trPr/>
        <w:tc>
          <w:tcPr>
            <w:tcW w:w="169"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bl>
      <w:tblPr>
        <w:tblW w:w="2180" w:type="dxa"/>
        <w:jc w:val="center"/>
        <w:tblInd w:w="0" w:type="dxa"/>
        <w:tblLayout w:type="fixed"/>
        <w:tblCellMar>
          <w:top w:w="0" w:type="dxa"/>
          <w:left w:w="0" w:type="dxa"/>
          <w:bottom w:w="0" w:type="dxa"/>
          <w:right w:w="0" w:type="dxa"/>
        </w:tblCellMar>
      </w:tblPr>
      <w:tblGrid>
        <w:gridCol w:w="124"/>
        <w:gridCol w:w="2056"/>
      </w:tblGrid>
      <w:tr>
        <w:trPr/>
        <w:tc>
          <w:tcPr>
            <w:tcW w:w="124"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r>
              <w:rPr>
                <w:rFonts w:ascii="Times New Roman;Times;serif" w:hAnsi="Times New Roman;Times;serif"/>
                <w:sz w:val="20"/>
              </w:rPr>
              <w:br/>
            </w:r>
            <w:r>
              <w:rPr>
                <w:rFonts w:ascii="Times New Roman;Times;serif" w:hAnsi="Times New Roman;Times;serif"/>
                <w:i/>
                <w:sz w:val="20"/>
              </w:rPr>
              <w:t>Chief Executive Officer</w:t>
            </w:r>
          </w:p>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2056" w:type="dxa"/>
            <w:tcBorders/>
            <w:vAlign w:val="center"/>
          </w:tcPr>
          <w:p>
            <w:pPr>
              <w:pStyle w:val="TableContents"/>
              <w:pBdr>
                <w:bottom w:val="single" w:sz="2" w:space="1" w:color="000000"/>
              </w:pBdr>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smallCaps/>
                <w:sz w:val="20"/>
              </w:rPr>
              <w:t>/ Jesse Arenivas</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Jesse Arenivas</w:t>
              <w:br/>
            </w:r>
            <w:r>
              <w:rPr>
                <w:rFonts w:ascii="Times New Roman;Times;serif" w:hAnsi="Times New Roman;Times;serif"/>
                <w:i/>
                <w:sz w:val="20"/>
              </w:rPr>
              <w:t>Chief Executive Officer</w:t>
            </w:r>
          </w:p>
        </w:tc>
      </w:tr>
    </w:tbl>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20"/>
        </w:rPr>
      </w:pPr>
      <w:bookmarkStart w:id="1208" w:name="tmb-20250930xex31d2.htm"/>
      <w:bookmarkStart w:id="1209" w:name="kstmb20250930xex31d2"/>
      <w:bookmarkEnd w:id="1208"/>
      <w:bookmarkEnd w:id="1209"/>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1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lineRule="auto" w:line="285" w:before="0" w:after="140"/>
        <w:ind w:left="0" w:right="0" w:hanging="0"/>
        <w:jc w:val="left"/>
        <w:rPr>
          <w:rFonts w:ascii="Times New Roman;Times;serif" w:hAnsi="Times New Roman;Times;serif"/>
          <w:sz w:val="20"/>
        </w:rPr>
      </w:pPr>
      <w:r>
        <w:rPr>
          <w:rFonts w:ascii="Times New Roman;Times;serif" w:hAnsi="Times New Roman;Times;serif"/>
          <w:sz w:val="20"/>
        </w:rPr>
        <w:t>I, Robert T. Fuller, Chief Financial Officer of TransMontaigne Partners LLC, a Delaware limited liability company (the “registrant”), certify that: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TransMontaigne Partners LLC for the fiscal quarter ended September 30, 2025;</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Date: November 13, 2025</w:t>
      </w:r>
    </w:p>
    <w:tbl>
      <w:tblPr>
        <w:tblW w:w="2195" w:type="dxa"/>
        <w:jc w:val="center"/>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lineRule="auto" w:line="285" w:before="0" w:after="0"/>
              <w:ind w:left="0" w:right="0" w:hanging="0"/>
              <w:jc w:val="left"/>
              <w:rPr/>
            </w:pPr>
            <w:r>
              <w:rPr/>
              <w:t>​</w:t>
            </w:r>
          </w:p>
        </w:tc>
        <w:tc>
          <w:tcPr>
            <w:tcW w:w="2071" w:type="dxa"/>
            <w:tcBorders/>
            <w:vAlign w:val="center"/>
          </w:tcPr>
          <w:p>
            <w:pPr>
              <w:pStyle w:val="TableContents"/>
              <w:bidi w:val="0"/>
              <w:spacing w:lineRule="auto" w:line="285" w:before="0" w:after="20"/>
              <w:ind w:left="0" w:right="0" w:hanging="0"/>
              <w:jc w:val="left"/>
              <w:rPr/>
            </w:pPr>
            <w:r>
              <w:rPr/>
              <w:t>​</w:t>
            </w:r>
            <w:r>
              <w:rPr>
                <w:rFonts w:ascii="Times New Roman;Times;serif" w:hAnsi="Times New Roman;Times;serif"/>
                <w:sz w:val="20"/>
              </w:rPr>
              <w:br/>
            </w:r>
            <w:r>
              <w:rPr>
                <w:rFonts w:ascii="Times New Roman;Times;serif" w:hAnsi="Times New Roman;Times;serif"/>
                <w:i/>
                <w:sz w:val="20"/>
              </w:rPr>
              <w:t>Chief Financial Officer</w:t>
            </w:r>
          </w:p>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2071" w:type="dxa"/>
            <w:tcBorders/>
            <w:vAlign w:val="center"/>
          </w:tcPr>
          <w:p>
            <w:pPr>
              <w:pStyle w:val="TableContents"/>
              <w:pBdr>
                <w:bottom w:val="single" w:sz="2" w:space="1" w:color="000000"/>
              </w:pBdr>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Robert T. Fuller</w:t>
            </w:r>
          </w:p>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Robert T. Fuller</w:t>
              <w:br/>
            </w:r>
            <w:r>
              <w:rPr>
                <w:rFonts w:ascii="Times New Roman;Times;serif" w:hAnsi="Times New Roman;Times;serif"/>
                <w:i/>
                <w:sz w:val="20"/>
              </w:rPr>
              <w:t>Chief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210" w:name="tmb-20250930xex32d1.htm"/>
      <w:bookmarkStart w:id="1211" w:name="kstmb20250930xex32d1"/>
      <w:bookmarkEnd w:id="1210"/>
      <w:bookmarkEnd w:id="1211"/>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undersigned, the Chief Executive Officer of TransMontaigne Partners LLC, a Delaware limited liability company (the “Company”), hereby certifies that, to his knowledge on the date hereof:</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the Company for the fiscal quarter ended September 30, 2025, filed on the date hereof with the Securities and Exchange Commission (the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2180" w:type="dxa"/>
        <w:jc w:val="center"/>
        <w:tblInd w:w="0" w:type="dxa"/>
        <w:tblLayout w:type="fixed"/>
        <w:tblCellMar>
          <w:top w:w="0" w:type="dxa"/>
          <w:left w:w="0" w:type="dxa"/>
          <w:bottom w:w="0" w:type="dxa"/>
          <w:right w:w="0" w:type="dxa"/>
        </w:tblCellMar>
      </w:tblPr>
      <w:tblGrid>
        <w:gridCol w:w="124"/>
        <w:gridCol w:w="2056"/>
      </w:tblGrid>
      <w:tr>
        <w:trPr/>
        <w:tc>
          <w:tcPr>
            <w:tcW w:w="124"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20"/>
              <w:ind w:left="0" w:right="0" w:hanging="0"/>
              <w:jc w:val="left"/>
              <w:rPr/>
            </w:pPr>
            <w:r>
              <w:rPr/>
              <w:t>​</w:t>
            </w:r>
            <w:r>
              <w:rPr>
                <w:rFonts w:ascii="Times New Roman;Times;serif" w:hAnsi="Times New Roman;Times;serif"/>
                <w:sz w:val="20"/>
              </w:rPr>
              <w:br/>
            </w:r>
            <w:r>
              <w:rPr>
                <w:rFonts w:ascii="Times New Roman;Times;serif" w:hAnsi="Times New Roman;Times;serif"/>
                <w:i/>
                <w:sz w:val="20"/>
              </w:rPr>
              <w:t>Chief Executive Officer</w:t>
            </w:r>
            <w:r>
              <w:rPr>
                <w:rFonts w:ascii="Times New Roman;Times;serif" w:hAnsi="Times New Roman;Times;serif"/>
                <w:sz w:val="20"/>
              </w:rPr>
              <w:br/>
              <w:t>May 6, 2014</w:t>
            </w:r>
          </w:p>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2056" w:type="dxa"/>
            <w:tcBorders/>
            <w:vAlign w:val="center"/>
          </w:tcPr>
          <w:p>
            <w:pPr>
              <w:pStyle w:val="TableContents"/>
              <w:pBdr>
                <w:bottom w:val="single" w:sz="2" w:space="1" w:color="000000"/>
              </w:pBdr>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smallCaps/>
                <w:sz w:val="20"/>
              </w:rPr>
              <w:t>/ Jesse Arenivas</w:t>
            </w:r>
          </w:p>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Jesse Arenivas</w:t>
              <w:br/>
            </w:r>
            <w:r>
              <w:rPr>
                <w:rFonts w:ascii="Times New Roman;Times;serif" w:hAnsi="Times New Roman;Times;serif"/>
                <w:i/>
                <w:sz w:val="20"/>
              </w:rPr>
              <w:t>Chief Executive Officer</w:t>
            </w:r>
            <w:r>
              <w:rPr>
                <w:rFonts w:ascii="Times New Roman;Times;serif" w:hAnsi="Times New Roman;Times;serif"/>
                <w:sz w:val="20"/>
              </w:rPr>
              <w:br/>
              <w:t>November 13, 2025</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212" w:name="tmb-20250930xex32d2.htm"/>
      <w:bookmarkStart w:id="1213" w:name="kstmb20250930xex32d2"/>
      <w:bookmarkEnd w:id="1212"/>
      <w:bookmarkEnd w:id="1213"/>
      <w:r>
        <w:rPr>
          <w:rFonts w:ascii="Times New Roman;Times;serif" w:hAnsi="Times New Roman;Times;serif"/>
          <w:b/>
          <w:sz w:val="20"/>
        </w:rPr>
        <w:t>Exhibit 32.2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undersigned, the Chief Financial Officer of TransMontaigne Partners LLC, a Delaware limited liability company (the “Company”), hereby certifies that, to his knowledge on the date hereof:</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the Company for the fiscal quarter ended September 30, 2025, filed on the date hereof with the Securities and Exchange Commission (the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2195" w:type="dxa"/>
        <w:jc w:val="center"/>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lineRule="auto" w:line="285" w:before="0" w:after="0"/>
              <w:ind w:left="0" w:right="0" w:hanging="0"/>
              <w:jc w:val="left"/>
              <w:rPr/>
            </w:pPr>
            <w:r>
              <w:rPr/>
              <w:t>​</w:t>
            </w:r>
          </w:p>
        </w:tc>
        <w:tc>
          <w:tcPr>
            <w:tcW w:w="2071" w:type="dxa"/>
            <w:tcBorders/>
            <w:vAlign w:val="center"/>
          </w:tcPr>
          <w:p>
            <w:pPr>
              <w:pStyle w:val="TableContents"/>
              <w:bidi w:val="0"/>
              <w:spacing w:lineRule="auto" w:line="285" w:before="0" w:after="20"/>
              <w:ind w:left="0" w:right="0" w:hanging="0"/>
              <w:jc w:val="left"/>
              <w:rPr/>
            </w:pPr>
            <w:r>
              <w:rPr/>
              <w:t>​</w:t>
            </w:r>
            <w:r>
              <w:rPr>
                <w:rFonts w:ascii="Times New Roman;Times;serif" w:hAnsi="Times New Roman;Times;serif"/>
                <w:sz w:val="20"/>
              </w:rPr>
              <w:br/>
            </w:r>
            <w:r>
              <w:rPr>
                <w:rFonts w:ascii="Times New Roman;Times;serif" w:hAnsi="Times New Roman;Times;serif"/>
                <w:i/>
                <w:sz w:val="20"/>
              </w:rPr>
              <w:t>Chief Financial Officer</w:t>
            </w:r>
            <w:r>
              <w:rPr>
                <w:rFonts w:ascii="Times New Roman;Times;serif" w:hAnsi="Times New Roman;Times;serif"/>
                <w:sz w:val="20"/>
              </w:rPr>
              <w:br/>
              <w:t>May 6, 2014</w:t>
            </w:r>
          </w:p>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2071" w:type="dxa"/>
            <w:tcBorders/>
            <w:vAlign w:val="center"/>
          </w:tcPr>
          <w:p>
            <w:pPr>
              <w:pStyle w:val="TableContents"/>
              <w:pBdr>
                <w:bottom w:val="single" w:sz="2" w:space="1" w:color="000000"/>
              </w:pBdr>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Robert T. Fuller</w:t>
            </w:r>
          </w:p>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Robert T. Fuller</w:t>
              <w:br/>
            </w:r>
            <w:r>
              <w:rPr>
                <w:rFonts w:ascii="Times New Roman;Times;serif" w:hAnsi="Times New Roman;Times;serif"/>
                <w:i/>
                <w:sz w:val="20"/>
              </w:rPr>
              <w:t>Chief Financial Officer</w:t>
            </w:r>
            <w:r>
              <w:rPr>
                <w:rFonts w:ascii="Times New Roman;Times;serif" w:hAnsi="Times New Roman;Times;serif"/>
                <w:sz w:val="20"/>
              </w:rPr>
              <w:br/>
              <w:t>November 13, 2025</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24139</Words>
  <Characters>136093</Characters>
  <CharactersWithSpaces>162115</CharactersWithSpaces>
  <Paragraphs>7542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