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2"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-225425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39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399"/>
              <w:spacing w:after="0" w:line="129"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3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140" w:type="dxa"/>
            <w:vAlign w:val="bottom"/>
            <w:gridSpan w:val="3"/>
            <w:vMerge w:val="restart"/>
          </w:tcPr>
          <w:p>
            <w:pPr>
              <w:ind w:left="42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399"/>
              <w:spacing w:after="0" w:line="182"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3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6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40" w:type="dxa"/>
            <w:vAlign w:val="bottom"/>
            <w:vMerge w:val="restart"/>
          </w:tcPr>
          <w:p>
            <w:pPr>
              <w:jc w:val="center"/>
              <w:ind w:right="3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6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5364480</wp:posOffset>
            </wp:positionH>
            <wp:positionV relativeFrom="paragraph">
              <wp:posOffset>-607060</wp:posOffset>
            </wp:positionV>
            <wp:extent cx="57150" cy="6203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039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-607060</wp:posOffset>
            </wp:positionV>
            <wp:extent cx="57150"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039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-1828165</wp:posOffset>
            </wp:positionH>
            <wp:positionV relativeFrom="paragraph">
              <wp:posOffset>19050</wp:posOffset>
            </wp:positionV>
            <wp:extent cx="7327900" cy="4244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7900" cy="424497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180" w:space="680"/>
            <w:col w:w="8660"/>
          </w:cols>
          <w:pgMar w:left="240" w:top="220" w:right="13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Hammell Michael A</w:t>
        </w:r>
      </w:hyperlink>
    </w:p>
    <w:p>
      <w:pPr>
        <w:spacing w:after="0" w:line="297"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1670 BROADWAY, SUITE 3100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11" w:lineRule="exact"/>
        <w:rPr>
          <w:sz w:val="24"/>
          <w:szCs w:val="24"/>
          <w:color w:val="auto"/>
        </w:rPr>
      </w:pPr>
    </w:p>
    <w:p>
      <w:pPr>
        <w:jc w:val="center"/>
        <w:ind w:right="303"/>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TransMontaigne Partners L.P.</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TLP</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0000FF"/>
        </w:rPr>
        <w:t>03/01/2018</w:t>
      </w:r>
    </w:p>
    <w:p>
      <w:pPr>
        <w:spacing w:after="0" w:line="20" w:lineRule="exact"/>
        <w:rPr>
          <w:sz w:val="24"/>
          <w:szCs w:val="24"/>
          <w:color w:val="auto"/>
        </w:rPr>
      </w:pPr>
      <w:r>
        <w:rPr>
          <w:sz w:val="24"/>
          <w:szCs w:val="24"/>
          <w:color w:val="auto"/>
        </w:rPr>
        <w:br w:type="column"/>
      </w:r>
    </w:p>
    <w:p>
      <w:pPr>
        <w:ind w:left="-3" w:right="840" w:firstLine="3"/>
        <w:spacing w:after="0" w:line="258" w:lineRule="auto"/>
        <w:tabs>
          <w:tab w:leader="none" w:pos="135"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6" w:lineRule="exact"/>
        <w:rPr>
          <w:sz w:val="24"/>
          <w:szCs w:val="24"/>
          <w:color w:val="auto"/>
        </w:rPr>
      </w:pPr>
    </w:p>
    <w:tbl>
      <w:tblPr>
        <w:tblLayout w:type="fixed"/>
        <w:tblInd w:w="217" w:type="dxa"/>
        <w:tblCellMar>
          <w:top w:w="0" w:type="dxa"/>
          <w:left w:w="0" w:type="dxa"/>
          <w:bottom w:w="0" w:type="dxa"/>
          <w:right w:w="0" w:type="dxa"/>
        </w:tblCellMar>
      </w:tblPr>
      <w:tr>
        <w:trPr>
          <w:trHeight w:val="149"/>
        </w:trPr>
        <w:tc>
          <w:tcPr>
            <w:tcW w:w="220" w:type="dxa"/>
            <w:vAlign w:val="bottom"/>
          </w:tcPr>
          <w:p>
            <w:pPr>
              <w:spacing w:after="0"/>
              <w:rPr>
                <w:sz w:val="12"/>
                <w:szCs w:val="12"/>
                <w:color w:val="auto"/>
              </w:rPr>
            </w:pPr>
          </w:p>
        </w:tc>
        <w:tc>
          <w:tcPr>
            <w:tcW w:w="1380" w:type="dxa"/>
            <w:vAlign w:val="bottom"/>
          </w:tcPr>
          <w:p>
            <w:pPr>
              <w:ind w:left="120"/>
              <w:spacing w:after="0"/>
              <w:rPr>
                <w:sz w:val="20"/>
                <w:szCs w:val="20"/>
                <w:color w:val="auto"/>
              </w:rPr>
            </w:pPr>
            <w:r>
              <w:rPr>
                <w:rFonts w:ascii="Arial" w:cs="Arial" w:eastAsia="Arial" w:hAnsi="Arial"/>
                <w:sz w:val="12"/>
                <w:szCs w:val="12"/>
                <w:color w:val="auto"/>
              </w:rPr>
              <w:t>Director</w:t>
            </w:r>
          </w:p>
        </w:tc>
        <w:tc>
          <w:tcPr>
            <w:tcW w:w="1140" w:type="dxa"/>
            <w:vAlign w:val="bottom"/>
          </w:tcPr>
          <w:p>
            <w:pPr>
              <w:ind w:left="3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76"/>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80" w:type="dxa"/>
            <w:vAlign w:val="bottom"/>
          </w:tcPr>
          <w:p>
            <w:pPr>
              <w:ind w:left="120"/>
              <w:spacing w:after="0"/>
              <w:rPr>
                <w:sz w:val="20"/>
                <w:szCs w:val="20"/>
                <w:color w:val="auto"/>
              </w:rPr>
            </w:pPr>
            <w:r>
              <w:rPr>
                <w:rFonts w:ascii="Arial" w:cs="Arial" w:eastAsia="Arial" w:hAnsi="Arial"/>
                <w:sz w:val="12"/>
                <w:szCs w:val="12"/>
                <w:color w:val="auto"/>
              </w:rPr>
              <w:t>Officer (give title</w:t>
            </w:r>
          </w:p>
        </w:tc>
        <w:tc>
          <w:tcPr>
            <w:tcW w:w="1140" w:type="dxa"/>
            <w:vAlign w:val="bottom"/>
          </w:tcPr>
          <w:p>
            <w:pPr>
              <w:ind w:left="3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380" w:type="dxa"/>
            <w:vAlign w:val="bottom"/>
            <w:vMerge w:val="restart"/>
          </w:tcPr>
          <w:p>
            <w:pPr>
              <w:ind w:left="120"/>
              <w:spacing w:after="0"/>
              <w:rPr>
                <w:sz w:val="20"/>
                <w:szCs w:val="20"/>
                <w:color w:val="auto"/>
              </w:rPr>
            </w:pPr>
            <w:r>
              <w:rPr>
                <w:rFonts w:ascii="Arial" w:cs="Arial" w:eastAsia="Arial" w:hAnsi="Arial"/>
                <w:sz w:val="12"/>
                <w:szCs w:val="12"/>
                <w:color w:val="auto"/>
              </w:rPr>
              <w:t>below)</w:t>
            </w:r>
          </w:p>
        </w:tc>
        <w:tc>
          <w:tcPr>
            <w:tcW w:w="1140" w:type="dxa"/>
            <w:vAlign w:val="bottom"/>
            <w:vMerge w:val="restart"/>
          </w:tcPr>
          <w:p>
            <w:pPr>
              <w:ind w:left="36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50"/>
        </w:trPr>
        <w:tc>
          <w:tcPr>
            <w:tcW w:w="22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517"/>
        <w:spacing w:after="0"/>
        <w:rPr>
          <w:sz w:val="20"/>
          <w:szCs w:val="20"/>
          <w:color w:val="auto"/>
        </w:rPr>
      </w:pPr>
      <w:r>
        <w:rPr>
          <w:rFonts w:ascii="Arial" w:cs="Arial" w:eastAsia="Arial" w:hAnsi="Arial"/>
          <w:sz w:val="15"/>
          <w:szCs w:val="15"/>
          <w:color w:val="0000FF"/>
        </w:rPr>
        <w:t>Executive VP/Gen Counsel &amp; SEC</w:t>
      </w:r>
    </w:p>
    <w:p>
      <w:pPr>
        <w:spacing w:after="0" w:line="336" w:lineRule="exact"/>
        <w:rPr>
          <w:sz w:val="24"/>
          <w:szCs w:val="24"/>
          <w:color w:val="auto"/>
        </w:rPr>
      </w:pPr>
    </w:p>
    <w:p>
      <w:pPr>
        <w:sectPr>
          <w:pgSz w:w="11900" w:h="16838" w:orient="portrait"/>
          <w:cols w:equalWidth="0" w:num="3">
            <w:col w:w="3340" w:space="720"/>
            <w:col w:w="3263" w:space="720"/>
            <w:col w:w="3477"/>
          </w:cols>
          <w:pgMar w:left="240" w:top="220" w:right="139" w:bottom="1440" w:gutter="0" w:footer="0" w:header="0"/>
          <w:type w:val="continuous"/>
        </w:sectPr>
      </w:pP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80" w:type="dxa"/>
            <w:vAlign w:val="bottom"/>
            <w:tcBorders>
              <w:top w:val="single" w:sz="8" w:color="2C2C2C"/>
            </w:tcBorders>
            <w:gridSpan w:val="7"/>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740" w:type="dxa"/>
            <w:vAlign w:val="bottom"/>
            <w:tcBorders>
              <w:top w:val="single" w:sz="8" w:color="2C2C2C"/>
            </w:tcBorders>
            <w:gridSpan w:val="9"/>
            <w:vMerge w:val="restart"/>
          </w:tcPr>
          <w:p>
            <w:pPr>
              <w:ind w:left="36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6"/>
                <w:szCs w:val="16"/>
                <w:color w:val="0000FF"/>
              </w:rPr>
              <w:t>DENVER</w:t>
            </w:r>
          </w:p>
        </w:tc>
        <w:tc>
          <w:tcPr>
            <w:tcW w:w="1100" w:type="dxa"/>
            <w:vAlign w:val="bottom"/>
            <w:vMerge w:val="restart"/>
          </w:tcPr>
          <w:p>
            <w:pPr>
              <w:spacing w:after="0"/>
              <w:rPr>
                <w:sz w:val="20"/>
                <w:szCs w:val="20"/>
                <w:color w:val="auto"/>
              </w:rPr>
            </w:pPr>
            <w:r>
              <w:rPr>
                <w:rFonts w:ascii="Arial" w:cs="Arial" w:eastAsia="Arial" w:hAnsi="Arial"/>
                <w:sz w:val="16"/>
                <w:szCs w:val="16"/>
                <w:color w:val="0000FF"/>
              </w:rPr>
              <w:t>CO</w:t>
            </w:r>
          </w:p>
        </w:tc>
        <w:tc>
          <w:tcPr>
            <w:tcW w:w="1020" w:type="dxa"/>
            <w:vAlign w:val="bottom"/>
            <w:vMerge w:val="restart"/>
          </w:tcPr>
          <w:p>
            <w:pPr>
              <w:ind w:left="180"/>
              <w:spacing w:after="0"/>
              <w:rPr>
                <w:sz w:val="20"/>
                <w:szCs w:val="20"/>
                <w:color w:val="auto"/>
              </w:rPr>
            </w:pPr>
            <w:r>
              <w:rPr>
                <w:rFonts w:ascii="Arial" w:cs="Arial" w:eastAsia="Arial" w:hAnsi="Arial"/>
                <w:sz w:val="16"/>
                <w:szCs w:val="16"/>
                <w:color w:val="0000FF"/>
              </w:rPr>
              <w:t>80202</w:t>
            </w: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80" w:type="dxa"/>
            <w:vAlign w:val="bottom"/>
            <w:gridSpan w:val="7"/>
            <w:vMerge w:val="continue"/>
          </w:tcPr>
          <w:p>
            <w:pPr>
              <w:spacing w:after="0"/>
              <w:rPr>
                <w:sz w:val="4"/>
                <w:szCs w:val="4"/>
                <w:color w:val="auto"/>
              </w:rPr>
            </w:pPr>
          </w:p>
        </w:tc>
        <w:tc>
          <w:tcPr>
            <w:tcW w:w="3740" w:type="dxa"/>
            <w:vAlign w:val="bottom"/>
            <w:gridSpan w:val="9"/>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gridSpan w:val="2"/>
          </w:tcPr>
          <w:p>
            <w:pPr>
              <w:ind w:left="580"/>
              <w:spacing w:after="0"/>
              <w:rPr>
                <w:sz w:val="20"/>
                <w:szCs w:val="20"/>
                <w:color w:val="auto"/>
              </w:rPr>
            </w:pPr>
            <w:r>
              <w:rPr>
                <w:rFonts w:ascii="Arial" w:cs="Arial" w:eastAsia="Arial" w:hAnsi="Arial"/>
                <w:sz w:val="16"/>
                <w:szCs w:val="16"/>
                <w:color w:val="0000FF"/>
              </w:rPr>
              <w:t>X</w:t>
            </w:r>
          </w:p>
        </w:tc>
        <w:tc>
          <w:tcPr>
            <w:tcW w:w="40" w:type="dxa"/>
            <w:vAlign w:val="bottom"/>
          </w:tcPr>
          <w:p>
            <w:pPr>
              <w:spacing w:after="0"/>
              <w:rPr>
                <w:sz w:val="19"/>
                <w:szCs w:val="19"/>
                <w:color w:val="auto"/>
              </w:rPr>
            </w:pPr>
          </w:p>
        </w:tc>
        <w:tc>
          <w:tcPr>
            <w:tcW w:w="2160" w:type="dxa"/>
            <w:vAlign w:val="bottom"/>
            <w:gridSpan w:val="4"/>
          </w:tcPr>
          <w:p>
            <w:pPr>
              <w:ind w:left="80"/>
              <w:spacing w:after="0"/>
              <w:rPr>
                <w:sz w:val="20"/>
                <w:szCs w:val="20"/>
                <w:color w:val="auto"/>
              </w:rPr>
            </w:pPr>
            <w:r>
              <w:rPr>
                <w:rFonts w:ascii="Arial" w:cs="Arial" w:eastAsia="Arial" w:hAnsi="Arial"/>
                <w:sz w:val="12"/>
                <w:szCs w:val="12"/>
                <w:color w:val="auto"/>
              </w:rPr>
              <w:t>Form filed by One Reporting Person</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vMerge w:val="restart"/>
          </w:tcPr>
          <w:p>
            <w:pPr>
              <w:spacing w:after="0"/>
              <w:rPr>
                <w:sz w:val="8"/>
                <w:szCs w:val="8"/>
                <w:color w:val="auto"/>
              </w:rPr>
            </w:pPr>
          </w:p>
        </w:tc>
        <w:tc>
          <w:tcPr>
            <w:tcW w:w="3000" w:type="dxa"/>
            <w:vAlign w:val="bottom"/>
            <w:gridSpan w:val="8"/>
            <w:vMerge w:val="restart"/>
          </w:tcPr>
          <w:p>
            <w:pPr>
              <w:ind w:left="8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color w:val="auto"/>
              </w:rPr>
              <w:t>(City)</w:t>
            </w:r>
          </w:p>
        </w:tc>
        <w:tc>
          <w:tcPr>
            <w:tcW w:w="700" w:type="dxa"/>
            <w:vAlign w:val="bottom"/>
          </w:tcPr>
          <w:p>
            <w:pPr>
              <w:spacing w:after="0"/>
              <w:rPr>
                <w:sz w:val="7"/>
                <w:szCs w:val="7"/>
                <w:color w:val="auto"/>
              </w:rPr>
            </w:pPr>
          </w:p>
        </w:tc>
        <w:tc>
          <w:tcPr>
            <w:tcW w:w="1100" w:type="dxa"/>
            <w:vAlign w:val="bottom"/>
            <w:vMerge w:val="restart"/>
          </w:tcPr>
          <w:p>
            <w:pPr>
              <w:spacing w:after="0"/>
              <w:rPr>
                <w:sz w:val="20"/>
                <w:szCs w:val="20"/>
                <w:color w:val="auto"/>
              </w:rPr>
            </w:pPr>
            <w:r>
              <w:rPr>
                <w:rFonts w:ascii="Arial" w:cs="Arial" w:eastAsia="Arial" w:hAnsi="Arial"/>
                <w:sz w:val="12"/>
                <w:szCs w:val="12"/>
                <w:color w:val="auto"/>
              </w:rPr>
              <w:t>(State)</w:t>
            </w:r>
          </w:p>
        </w:tc>
        <w:tc>
          <w:tcPr>
            <w:tcW w:w="1020" w:type="dxa"/>
            <w:vAlign w:val="bottom"/>
            <w:vMerge w:val="restart"/>
          </w:tcPr>
          <w:p>
            <w:pPr>
              <w:ind w:left="18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300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4440" w:type="dxa"/>
            <w:vAlign w:val="bottom"/>
            <w:tcBorders>
              <w:bottom w:val="single" w:sz="8" w:color="2C2C2C"/>
            </w:tcBorders>
            <w:gridSpan w:val="8"/>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1100" w:type="dxa"/>
            <w:vAlign w:val="bottom"/>
            <w:tcBorders>
              <w:top w:val="single" w:sz="8" w:color="2C2C2C"/>
            </w:tcBorders>
          </w:tcPr>
          <w:p>
            <w:pPr>
              <w:spacing w:after="0"/>
              <w:rPr>
                <w:sz w:val="20"/>
                <w:szCs w:val="20"/>
                <w:color w:val="auto"/>
              </w:rPr>
            </w:pPr>
          </w:p>
        </w:tc>
        <w:tc>
          <w:tcPr>
            <w:tcW w:w="6740" w:type="dxa"/>
            <w:vAlign w:val="bottom"/>
            <w:tcBorders>
              <w:top w:val="single" w:sz="8" w:color="2C2C2C"/>
            </w:tcBorders>
            <w:gridSpan w:val="15"/>
          </w:tcPr>
          <w:p>
            <w:pPr>
              <w:ind w:left="1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8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5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46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w w:val="99"/>
              </w:rPr>
              <w:t>2. Transaction</w:t>
            </w:r>
          </w:p>
        </w:tc>
        <w:tc>
          <w:tcPr>
            <w:tcW w:w="24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20" w:type="dxa"/>
            <w:vAlign w:val="bottom"/>
          </w:tcPr>
          <w:p>
            <w:pPr>
              <w:spacing w:after="0"/>
              <w:rPr>
                <w:sz w:val="14"/>
                <w:szCs w:val="14"/>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240" w:type="dxa"/>
            <w:vAlign w:val="bottom"/>
            <w:gridSpan w:val="4"/>
          </w:tcPr>
          <w:p>
            <w:pPr>
              <w:ind w:left="240"/>
              <w:spacing w:after="0"/>
              <w:rPr>
                <w:sz w:val="20"/>
                <w:szCs w:val="20"/>
                <w:color w:val="auto"/>
              </w:rPr>
            </w:pPr>
            <w:r>
              <w:rPr>
                <w:rFonts w:ascii="Arial" w:cs="Arial" w:eastAsia="Arial" w:hAnsi="Arial"/>
                <w:sz w:val="11"/>
                <w:szCs w:val="11"/>
                <w:b w:val="1"/>
                <w:bCs w:val="1"/>
                <w:color w:val="auto"/>
              </w:rPr>
              <w:t>4. Securities Acquired (A) or</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5. Amount of</w:t>
            </w:r>
          </w:p>
        </w:tc>
        <w:tc>
          <w:tcPr>
            <w:tcW w:w="48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Date</w:t>
            </w:r>
          </w:p>
        </w:tc>
        <w:tc>
          <w:tcPr>
            <w:tcW w:w="240" w:type="dxa"/>
            <w:vAlign w:val="bottom"/>
          </w:tcPr>
          <w:p>
            <w:pPr>
              <w:spacing w:after="0"/>
              <w:rPr>
                <w:sz w:val="10"/>
                <w:szCs w:val="10"/>
                <w:color w:val="auto"/>
              </w:rPr>
            </w:pPr>
          </w:p>
        </w:tc>
        <w:tc>
          <w:tcPr>
            <w:tcW w:w="104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Execution Date,</w:t>
            </w:r>
          </w:p>
        </w:tc>
        <w:tc>
          <w:tcPr>
            <w:tcW w:w="2840" w:type="dxa"/>
            <w:vAlign w:val="bottom"/>
            <w:gridSpan w:val="5"/>
          </w:tcPr>
          <w:p>
            <w:pPr>
              <w:ind w:left="60"/>
              <w:spacing w:after="0" w:line="122" w:lineRule="exact"/>
              <w:rPr>
                <w:sz w:val="20"/>
                <w:szCs w:val="20"/>
                <w:color w:val="auto"/>
              </w:rPr>
            </w:pPr>
            <w:r>
              <w:rPr>
                <w:rFonts w:ascii="Arial" w:cs="Arial" w:eastAsia="Arial" w:hAnsi="Arial"/>
                <w:sz w:val="11"/>
                <w:szCs w:val="11"/>
                <w:b w:val="1"/>
                <w:bCs w:val="1"/>
                <w:color w:val="auto"/>
              </w:rPr>
              <w:t>Transaction   Disposed Of (D) (Instr. 3, 4 and 5)</w:t>
            </w:r>
          </w:p>
        </w:tc>
        <w:tc>
          <w:tcPr>
            <w:tcW w:w="7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9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 (D)</w:t>
            </w:r>
          </w:p>
        </w:tc>
        <w:tc>
          <w:tcPr>
            <w:tcW w:w="84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8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220" w:type="dxa"/>
            <w:vAlign w:val="bottom"/>
          </w:tcPr>
          <w:p>
            <w:pPr>
              <w:spacing w:after="0"/>
              <w:rPr>
                <w:sz w:val="10"/>
                <w:szCs w:val="10"/>
                <w:color w:val="auto"/>
              </w:rPr>
            </w:pPr>
          </w:p>
        </w:tc>
        <w:tc>
          <w:tcPr>
            <w:tcW w:w="12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Beneficially Owned</w:t>
            </w:r>
          </w:p>
        </w:tc>
        <w:tc>
          <w:tcPr>
            <w:tcW w:w="9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 Indirect (I)</w:t>
            </w:r>
          </w:p>
        </w:tc>
        <w:tc>
          <w:tcPr>
            <w:tcW w:w="84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Following Reported</w:t>
            </w:r>
          </w:p>
        </w:tc>
        <w:tc>
          <w:tcPr>
            <w:tcW w:w="440" w:type="dxa"/>
            <w:vAlign w:val="bottom"/>
          </w:tcPr>
          <w:p>
            <w:pPr>
              <w:spacing w:after="0" w:line="125" w:lineRule="exact"/>
              <w:rPr>
                <w:sz w:val="20"/>
                <w:szCs w:val="20"/>
                <w:color w:val="auto"/>
              </w:rPr>
            </w:pPr>
            <w:r>
              <w:rPr>
                <w:rFonts w:ascii="Arial" w:cs="Arial" w:eastAsia="Arial" w:hAnsi="Arial"/>
                <w:sz w:val="11"/>
                <w:szCs w:val="11"/>
                <w:b w:val="1"/>
                <w:bCs w:val="1"/>
                <w:color w:val="auto"/>
                <w:w w:val="96"/>
              </w:rPr>
              <w:t>(Instr. 4)</w:t>
            </w:r>
          </w:p>
        </w:tc>
        <w:tc>
          <w:tcPr>
            <w:tcW w:w="540" w:type="dxa"/>
            <w:vAlign w:val="bottom"/>
          </w:tcPr>
          <w:p>
            <w:pPr>
              <w:spacing w:after="0"/>
              <w:rPr>
                <w:sz w:val="10"/>
                <w:szCs w:val="10"/>
                <w:color w:val="auto"/>
              </w:rPr>
            </w:pPr>
          </w:p>
        </w:tc>
        <w:tc>
          <w:tcPr>
            <w:tcW w:w="84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220" w:type="dxa"/>
            <w:vAlign w:val="bottom"/>
            <w:gridSpan w:val="3"/>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40" w:type="dxa"/>
            <w:vAlign w:val="bottom"/>
            <w:gridSpan w:val="4"/>
            <w:vMerge w:val="restart"/>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Amount</w:t>
            </w:r>
          </w:p>
        </w:tc>
        <w:tc>
          <w:tcPr>
            <w:tcW w:w="760" w:type="dxa"/>
            <w:vAlign w:val="bottom"/>
          </w:tcPr>
          <w:p>
            <w:pPr>
              <w:ind w:left="420"/>
              <w:spacing w:after="0" w:line="125" w:lineRule="exact"/>
              <w:rPr>
                <w:sz w:val="20"/>
                <w:szCs w:val="20"/>
                <w:color w:val="auto"/>
              </w:rPr>
            </w:pPr>
            <w:r>
              <w:rPr>
                <w:rFonts w:ascii="Arial" w:cs="Arial" w:eastAsia="Arial" w:hAnsi="Arial"/>
                <w:sz w:val="11"/>
                <w:szCs w:val="11"/>
                <w:b w:val="1"/>
                <w:bCs w:val="1"/>
                <w:color w:val="auto"/>
              </w:rPr>
              <w:t>(A) or</w:t>
            </w:r>
          </w:p>
        </w:tc>
        <w:tc>
          <w:tcPr>
            <w:tcW w:w="80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(Instr. 3 and 4)</w:t>
            </w: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vMerge w:val="restart"/>
          </w:tcPr>
          <w:p>
            <w:pPr>
              <w:ind w:left="420"/>
              <w:spacing w:after="0"/>
              <w:rPr>
                <w:sz w:val="20"/>
                <w:szCs w:val="20"/>
                <w:color w:val="auto"/>
              </w:rPr>
            </w:pPr>
            <w:r>
              <w:rPr>
                <w:rFonts w:ascii="Arial" w:cs="Arial" w:eastAsia="Arial" w:hAnsi="Arial"/>
                <w:sz w:val="11"/>
                <w:szCs w:val="11"/>
                <w:b w:val="1"/>
                <w:bCs w:val="1"/>
                <w:color w:val="auto"/>
              </w:rPr>
              <w:t>(D)</w:t>
            </w:r>
          </w:p>
        </w:tc>
        <w:tc>
          <w:tcPr>
            <w:tcW w:w="8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gridSpan w:val="2"/>
          </w:tcPr>
          <w:p>
            <w:pPr>
              <w:spacing w:after="0"/>
              <w:rPr>
                <w:sz w:val="7"/>
                <w:szCs w:val="7"/>
                <w:color w:val="auto"/>
              </w:rPr>
            </w:pPr>
          </w:p>
        </w:tc>
        <w:tc>
          <w:tcPr>
            <w:tcW w:w="4900" w:type="dxa"/>
            <w:vAlign w:val="bottom"/>
            <w:tcBorders>
              <w:bottom w:val="single" w:sz="8" w:color="2C2C2C"/>
            </w:tcBorders>
            <w:gridSpan w:val="10"/>
          </w:tcPr>
          <w:p>
            <w:pPr>
              <w:spacing w:after="0"/>
              <w:rPr>
                <w:sz w:val="7"/>
                <w:szCs w:val="7"/>
                <w:color w:val="auto"/>
              </w:rPr>
            </w:pPr>
          </w:p>
        </w:tc>
        <w:tc>
          <w:tcPr>
            <w:tcW w:w="8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1100" w:type="dxa"/>
            <w:vAlign w:val="bottom"/>
            <w:tcBorders>
              <w:top w:val="single" w:sz="8" w:color="2C2C2C"/>
            </w:tcBorders>
          </w:tcPr>
          <w:p>
            <w:pPr>
              <w:spacing w:after="0"/>
              <w:rPr>
                <w:sz w:val="17"/>
                <w:szCs w:val="17"/>
                <w:color w:val="auto"/>
              </w:rPr>
            </w:pPr>
          </w:p>
        </w:tc>
        <w:tc>
          <w:tcPr>
            <w:tcW w:w="6740" w:type="dxa"/>
            <w:vAlign w:val="bottom"/>
            <w:tcBorders>
              <w:top w:val="single" w:sz="8" w:color="2C2C2C"/>
            </w:tcBorders>
            <w:gridSpan w:val="15"/>
          </w:tcPr>
          <w:p>
            <w:pPr>
              <w:jc w:val="center"/>
              <w:ind w:right="122"/>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7"/>
                <w:szCs w:val="17"/>
                <w:color w:val="auto"/>
              </w:rPr>
            </w:pPr>
          </w:p>
        </w:tc>
        <w:tc>
          <w:tcPr>
            <w:tcW w:w="440" w:type="dxa"/>
            <w:vAlign w:val="bottom"/>
            <w:tcBorders>
              <w:top w:val="single" w:sz="8" w:color="2C2C2C"/>
            </w:tcBorders>
          </w:tcPr>
          <w:p>
            <w:pPr>
              <w:spacing w:after="0"/>
              <w:rPr>
                <w:sz w:val="17"/>
                <w:szCs w:val="17"/>
                <w:color w:val="auto"/>
              </w:rPr>
            </w:pPr>
          </w:p>
        </w:tc>
        <w:tc>
          <w:tcPr>
            <w:tcW w:w="54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980" w:type="dxa"/>
            <w:vAlign w:val="bottom"/>
            <w:gridSpan w:val="12"/>
          </w:tcPr>
          <w:p>
            <w:pPr>
              <w:jc w:val="center"/>
              <w:ind w:right="4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0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56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0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5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6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10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5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Derivative Security (Instr. 3</w:t>
            </w:r>
          </w:p>
        </w:tc>
        <w:tc>
          <w:tcPr>
            <w:tcW w:w="4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100" w:type="dxa"/>
            <w:vAlign w:val="bottom"/>
          </w:tcPr>
          <w:p>
            <w:pPr>
              <w:spacing w:after="0"/>
              <w:rPr>
                <w:sz w:val="10"/>
                <w:szCs w:val="10"/>
                <w:color w:val="auto"/>
              </w:rPr>
            </w:pPr>
          </w:p>
        </w:tc>
        <w:tc>
          <w:tcPr>
            <w:tcW w:w="10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4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Acquired (A) or</w:t>
            </w: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and 4)</w:t>
            </w: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Beneficially</w:t>
            </w:r>
          </w:p>
        </w:tc>
        <w:tc>
          <w:tcPr>
            <w:tcW w:w="5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0"/>
                <w:szCs w:val="10"/>
                <w:color w:val="auto"/>
              </w:rPr>
            </w:pP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Disposed of (D)</w:t>
            </w: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Owned</w:t>
            </w:r>
          </w:p>
        </w:tc>
        <w:tc>
          <w:tcPr>
            <w:tcW w:w="440" w:type="dxa"/>
            <w:vAlign w:val="bottom"/>
          </w:tcPr>
          <w:p>
            <w:pPr>
              <w:spacing w:after="0"/>
              <w:rPr>
                <w:sz w:val="10"/>
                <w:szCs w:val="10"/>
                <w:color w:val="auto"/>
              </w:rPr>
            </w:pPr>
          </w:p>
        </w:tc>
        <w:tc>
          <w:tcPr>
            <w:tcW w:w="6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(Instr. 3, 4 and 5)</w:t>
            </w: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Following</w:t>
            </w:r>
          </w:p>
        </w:tc>
        <w:tc>
          <w:tcPr>
            <w:tcW w:w="6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gridSpan w:val="2"/>
            <w:vMerge w:val="restart"/>
          </w:tcPr>
          <w:p>
            <w:pPr>
              <w:ind w:left="40"/>
              <w:spacing w:after="0" w:line="125"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2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Expiration</w:t>
            </w:r>
          </w:p>
        </w:tc>
        <w:tc>
          <w:tcPr>
            <w:tcW w:w="760" w:type="dxa"/>
            <w:vAlign w:val="bottom"/>
          </w:tcPr>
          <w:p>
            <w:pPr>
              <w:spacing w:after="0"/>
              <w:rPr>
                <w:sz w:val="10"/>
                <w:szCs w:val="10"/>
                <w:color w:val="auto"/>
              </w:rPr>
            </w:pPr>
          </w:p>
        </w:tc>
        <w:tc>
          <w:tcPr>
            <w:tcW w:w="8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6"/>
              </w:rPr>
              <w:t>(Instr. 4)</w:t>
            </w: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24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820" w:type="dxa"/>
            <w:vAlign w:val="bottom"/>
          </w:tcPr>
          <w:p>
            <w:pPr>
              <w:ind w:left="600"/>
              <w:spacing w:after="0"/>
              <w:rPr>
                <w:sz w:val="20"/>
                <w:szCs w:val="20"/>
                <w:color w:val="auto"/>
              </w:rPr>
            </w:pPr>
            <w:r>
              <w:rPr>
                <w:rFonts w:ascii="Arial" w:cs="Arial" w:eastAsia="Arial" w:hAnsi="Arial"/>
                <w:sz w:val="11"/>
                <w:szCs w:val="11"/>
                <w:b w:val="1"/>
                <w:bCs w:val="1"/>
                <w:color w:val="auto"/>
              </w:rPr>
              <w:t>(D)</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jc w:val="center"/>
              <w:ind w:right="2"/>
              <w:spacing w:after="0"/>
              <w:rPr>
                <w:sz w:val="20"/>
                <w:szCs w:val="20"/>
                <w:color w:val="auto"/>
              </w:rPr>
            </w:pPr>
            <w:r>
              <w:rPr>
                <w:rFonts w:ascii="Arial" w:cs="Arial" w:eastAsia="Arial" w:hAnsi="Arial"/>
                <w:sz w:val="12"/>
                <w:szCs w:val="12"/>
                <w:color w:val="0000FF"/>
                <w:w w:val="94"/>
              </w:rPr>
              <w:t>Common</w:t>
            </w: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jc w:val="center"/>
              <w:ind w:right="22"/>
              <w:spacing w:after="0"/>
              <w:rPr>
                <w:sz w:val="20"/>
                <w:szCs w:val="20"/>
                <w:color w:val="auto"/>
              </w:rPr>
            </w:pPr>
            <w:r>
              <w:rPr>
                <w:rFonts w:ascii="Arial" w:cs="Arial" w:eastAsia="Arial" w:hAnsi="Arial"/>
                <w:sz w:val="12"/>
                <w:szCs w:val="12"/>
                <w:color w:val="0000FF"/>
              </w:rPr>
              <w:t>Units</w:t>
            </w: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Phantom</w:t>
            </w:r>
          </w:p>
        </w:tc>
        <w:tc>
          <w:tcPr>
            <w:tcW w:w="700" w:type="dxa"/>
            <w:vAlign w:val="bottom"/>
          </w:tcPr>
          <w:p>
            <w:pPr>
              <w:ind w:left="320"/>
              <w:spacing w:after="0"/>
              <w:rPr>
                <w:sz w:val="20"/>
                <w:szCs w:val="20"/>
                <w:color w:val="auto"/>
              </w:rPr>
            </w:pPr>
            <w:r>
              <w:rPr>
                <w:rFonts w:ascii="Arial" w:cs="Arial" w:eastAsia="Arial" w:hAnsi="Arial"/>
                <w:sz w:val="10"/>
                <w:szCs w:val="10"/>
                <w:color w:val="008000"/>
              </w:rPr>
              <w:t>(1)</w:t>
            </w:r>
          </w:p>
        </w:tc>
        <w:tc>
          <w:tcPr>
            <w:tcW w:w="1100" w:type="dxa"/>
            <w:vAlign w:val="bottom"/>
          </w:tcPr>
          <w:p>
            <w:pPr>
              <w:ind w:left="300"/>
              <w:spacing w:after="0"/>
              <w:rPr>
                <w:sz w:val="20"/>
                <w:szCs w:val="20"/>
                <w:color w:val="auto"/>
              </w:rPr>
            </w:pPr>
            <w:r>
              <w:rPr>
                <w:rFonts w:ascii="Arial" w:cs="Arial" w:eastAsia="Arial" w:hAnsi="Arial"/>
                <w:sz w:val="12"/>
                <w:szCs w:val="12"/>
                <w:color w:val="0000FF"/>
              </w:rPr>
              <w:t>03/01/2018</w:t>
            </w: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gridSpan w:val="3"/>
          </w:tcPr>
          <w:p>
            <w:pPr>
              <w:ind w:left="160"/>
              <w:spacing w:after="0"/>
              <w:rPr>
                <w:sz w:val="20"/>
                <w:szCs w:val="20"/>
                <w:color w:val="auto"/>
              </w:rPr>
            </w:pPr>
            <w:r>
              <w:rPr>
                <w:rFonts w:ascii="Arial" w:cs="Arial" w:eastAsia="Arial" w:hAnsi="Arial"/>
                <w:sz w:val="12"/>
                <w:szCs w:val="12"/>
                <w:color w:val="0000FF"/>
              </w:rPr>
              <w:t>A</w:t>
            </w:r>
          </w:p>
        </w:tc>
        <w:tc>
          <w:tcPr>
            <w:tcW w:w="1060" w:type="dxa"/>
            <w:vAlign w:val="bottom"/>
            <w:gridSpan w:val="2"/>
          </w:tcPr>
          <w:p>
            <w:pPr>
              <w:ind w:left="20"/>
              <w:spacing w:after="0" w:line="196" w:lineRule="exact"/>
              <w:rPr>
                <w:sz w:val="20"/>
                <w:szCs w:val="20"/>
                <w:color w:val="auto"/>
              </w:rPr>
            </w:pPr>
            <w:r>
              <w:rPr>
                <w:rFonts w:ascii="Arial" w:cs="Arial" w:eastAsia="Arial" w:hAnsi="Arial"/>
                <w:sz w:val="12"/>
                <w:szCs w:val="12"/>
                <w:color w:val="0000FF"/>
              </w:rPr>
              <w:t>5,676.9799</w:t>
            </w:r>
            <w:r>
              <w:rPr>
                <w:rFonts w:ascii="Arial" w:cs="Arial" w:eastAsia="Arial" w:hAnsi="Arial"/>
                <w:sz w:val="20"/>
                <w:szCs w:val="20"/>
                <w:color w:val="008000"/>
                <w:vertAlign w:val="superscript"/>
              </w:rPr>
              <w:t>(2)</w:t>
            </w:r>
          </w:p>
        </w:tc>
        <w:tc>
          <w:tcPr>
            <w:tcW w:w="220" w:type="dxa"/>
            <w:vAlign w:val="bottom"/>
          </w:tcPr>
          <w:p>
            <w:pPr>
              <w:spacing w:after="0"/>
              <w:rPr>
                <w:sz w:val="17"/>
                <w:szCs w:val="17"/>
                <w:color w:val="auto"/>
              </w:rPr>
            </w:pPr>
          </w:p>
        </w:tc>
        <w:tc>
          <w:tcPr>
            <w:tcW w:w="600" w:type="dxa"/>
            <w:vAlign w:val="bottom"/>
          </w:tcPr>
          <w:p>
            <w:pPr>
              <w:ind w:left="40"/>
              <w:spacing w:after="0"/>
              <w:rPr>
                <w:sz w:val="20"/>
                <w:szCs w:val="20"/>
                <w:color w:val="auto"/>
              </w:rPr>
            </w:pPr>
            <w:r>
              <w:rPr>
                <w:rFonts w:ascii="Arial" w:cs="Arial" w:eastAsia="Arial" w:hAnsi="Arial"/>
                <w:sz w:val="10"/>
                <w:szCs w:val="10"/>
                <w:color w:val="008000"/>
              </w:rPr>
              <w:t>(3)(4)</w:t>
            </w:r>
          </w:p>
        </w:tc>
        <w:tc>
          <w:tcPr>
            <w:tcW w:w="680" w:type="dxa"/>
            <w:vAlign w:val="bottom"/>
          </w:tcPr>
          <w:p>
            <w:pPr>
              <w:ind w:left="160"/>
              <w:spacing w:after="0"/>
              <w:rPr>
                <w:sz w:val="20"/>
                <w:szCs w:val="20"/>
                <w:color w:val="auto"/>
              </w:rPr>
            </w:pPr>
            <w:r>
              <w:rPr>
                <w:rFonts w:ascii="Arial" w:cs="Arial" w:eastAsia="Arial" w:hAnsi="Arial"/>
                <w:sz w:val="10"/>
                <w:szCs w:val="10"/>
                <w:color w:val="008000"/>
              </w:rPr>
              <w:t>(3)(4)</w:t>
            </w:r>
          </w:p>
        </w:tc>
        <w:tc>
          <w:tcPr>
            <w:tcW w:w="760" w:type="dxa"/>
            <w:vAlign w:val="bottom"/>
          </w:tcPr>
          <w:p>
            <w:pPr>
              <w:ind w:left="20"/>
              <w:spacing w:after="0"/>
              <w:rPr>
                <w:sz w:val="20"/>
                <w:szCs w:val="20"/>
                <w:color w:val="auto"/>
              </w:rPr>
            </w:pPr>
            <w:r>
              <w:rPr>
                <w:rFonts w:ascii="Arial" w:cs="Arial" w:eastAsia="Arial" w:hAnsi="Arial"/>
                <w:sz w:val="12"/>
                <w:szCs w:val="12"/>
                <w:color w:val="0000FF"/>
              </w:rPr>
              <w:t>Representing</w:t>
            </w:r>
          </w:p>
        </w:tc>
        <w:tc>
          <w:tcPr>
            <w:tcW w:w="800" w:type="dxa"/>
            <w:vAlign w:val="bottom"/>
            <w:gridSpan w:val="2"/>
          </w:tcPr>
          <w:p>
            <w:pPr>
              <w:ind w:left="40"/>
              <w:spacing w:after="0"/>
              <w:rPr>
                <w:sz w:val="20"/>
                <w:szCs w:val="20"/>
                <w:color w:val="auto"/>
              </w:rPr>
            </w:pPr>
            <w:r>
              <w:rPr>
                <w:rFonts w:ascii="Arial" w:cs="Arial" w:eastAsia="Arial" w:hAnsi="Arial"/>
                <w:sz w:val="16"/>
                <w:szCs w:val="16"/>
                <w:color w:val="0000FF"/>
                <w:w w:val="92"/>
              </w:rPr>
              <w:t>5,676.9799</w:t>
            </w:r>
          </w:p>
        </w:tc>
        <w:tc>
          <w:tcPr>
            <w:tcW w:w="740" w:type="dxa"/>
            <w:vAlign w:val="bottom"/>
            <w:gridSpan w:val="2"/>
          </w:tcPr>
          <w:p>
            <w:pPr>
              <w:ind w:left="3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gridSpan w:val="2"/>
          </w:tcPr>
          <w:p>
            <w:pPr>
              <w:ind w:left="100"/>
              <w:spacing w:after="0"/>
              <w:rPr>
                <w:sz w:val="20"/>
                <w:szCs w:val="20"/>
                <w:color w:val="auto"/>
              </w:rPr>
            </w:pPr>
            <w:r>
              <w:rPr>
                <w:rFonts w:ascii="Arial" w:cs="Arial" w:eastAsia="Arial" w:hAnsi="Arial"/>
                <w:sz w:val="12"/>
                <w:szCs w:val="12"/>
                <w:color w:val="0000FF"/>
              </w:rPr>
              <w:t>14,870.4708</w:t>
            </w:r>
          </w:p>
        </w:tc>
        <w:tc>
          <w:tcPr>
            <w:tcW w:w="540" w:type="dxa"/>
            <w:vAlign w:val="bottom"/>
          </w:tcPr>
          <w:p>
            <w:pPr>
              <w:ind w:left="260"/>
              <w:spacing w:after="0"/>
              <w:rPr>
                <w:sz w:val="20"/>
                <w:szCs w:val="20"/>
                <w:color w:val="auto"/>
              </w:rPr>
            </w:pPr>
            <w:r>
              <w:rPr>
                <w:rFonts w:ascii="Arial" w:cs="Arial" w:eastAsia="Arial" w:hAnsi="Arial"/>
                <w:sz w:val="12"/>
                <w:szCs w:val="12"/>
                <w:color w:val="0000FF"/>
              </w:rPr>
              <w:t>D</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gridSpan w:val="2"/>
          </w:tcPr>
          <w:p>
            <w:pPr>
              <w:ind w:left="60"/>
              <w:spacing w:after="0" w:line="89" w:lineRule="exact"/>
              <w:rPr>
                <w:sz w:val="20"/>
                <w:szCs w:val="20"/>
                <w:color w:val="auto"/>
              </w:rPr>
            </w:pPr>
            <w:r>
              <w:rPr>
                <w:rFonts w:ascii="Arial" w:cs="Arial" w:eastAsia="Arial" w:hAnsi="Arial"/>
                <w:sz w:val="10"/>
                <w:szCs w:val="10"/>
                <w:color w:val="0000FF"/>
              </w:rPr>
              <w:t>Units</w:t>
            </w:r>
          </w:p>
        </w:tc>
        <w:tc>
          <w:tcPr>
            <w:tcW w:w="7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jc w:val="center"/>
              <w:ind w:right="22"/>
              <w:spacing w:after="0" w:line="89" w:lineRule="exact"/>
              <w:rPr>
                <w:sz w:val="20"/>
                <w:szCs w:val="20"/>
                <w:color w:val="auto"/>
              </w:rPr>
            </w:pPr>
            <w:r>
              <w:rPr>
                <w:rFonts w:ascii="Arial" w:cs="Arial" w:eastAsia="Arial" w:hAnsi="Arial"/>
                <w:sz w:val="10"/>
                <w:szCs w:val="10"/>
                <w:color w:val="0000FF"/>
              </w:rPr>
              <w:t>Limited</w:t>
            </w: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2"/>
          <w:szCs w:val="12"/>
          <w:color w:val="0000FF"/>
        </w:rPr>
        <w:t>Partner</w:t>
      </w:r>
    </w:p>
    <w:p>
      <w:pPr>
        <w:ind w:left="7060"/>
        <w:spacing w:after="0"/>
        <w:rPr>
          <w:sz w:val="20"/>
          <w:szCs w:val="20"/>
          <w:color w:val="auto"/>
        </w:rPr>
      </w:pPr>
      <w:r>
        <w:rPr>
          <w:rFonts w:ascii="Arial" w:cs="Arial" w:eastAsia="Arial" w:hAnsi="Arial"/>
          <w:sz w:val="12"/>
          <w:szCs w:val="12"/>
          <w:color w:val="0000FF"/>
        </w:rPr>
        <w:t>Interests</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5" w:lineRule="exact"/>
        <w:rPr>
          <w:sz w:val="24"/>
          <w:szCs w:val="24"/>
          <w:color w:val="auto"/>
        </w:rPr>
      </w:pPr>
    </w:p>
    <w:p>
      <w:pPr>
        <w:ind w:left="160" w:hanging="123"/>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phantom unit represents the right to receive one common unit representing a limited partner interest in TransMontaigne Partners L.P. (a "common unit") or the cash value thereof.</w:t>
      </w:r>
    </w:p>
    <w:p>
      <w:pPr>
        <w:spacing w:after="0" w:line="49" w:lineRule="exact"/>
        <w:rPr>
          <w:rFonts w:ascii="Arial" w:cs="Arial" w:eastAsia="Arial" w:hAnsi="Arial"/>
          <w:sz w:val="12"/>
          <w:szCs w:val="12"/>
          <w:color w:val="008000"/>
        </w:rPr>
      </w:pPr>
    </w:p>
    <w:p>
      <w:pPr>
        <w:ind w:left="40" w:right="140" w:hanging="3"/>
        <w:spacing w:after="0" w:line="272" w:lineRule="auto"/>
        <w:tabs>
          <w:tab w:leader="none" w:pos="16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2018 annual award granted under the 2016 Long Term Incentive Plan (the "Plan") by the Compensation Committee of the Board of Directors of TLP Management Services LLC on March 1, 2018 that has been deemed to be invested in "phantom units," as if invested in an investment fund that tracks the financial performance of the common units.</w:t>
      </w:r>
    </w:p>
    <w:p>
      <w:pPr>
        <w:spacing w:after="0" w:line="11" w:lineRule="exact"/>
        <w:rPr>
          <w:rFonts w:ascii="Arial" w:cs="Arial" w:eastAsia="Arial" w:hAnsi="Arial"/>
          <w:sz w:val="12"/>
          <w:szCs w:val="12"/>
          <w:color w:val="008000"/>
        </w:rPr>
      </w:pPr>
    </w:p>
    <w:p>
      <w:pPr>
        <w:ind w:left="40" w:right="200" w:hanging="3"/>
        <w:spacing w:after="0" w:line="272" w:lineRule="auto"/>
        <w:tabs>
          <w:tab w:leader="none" w:pos="16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Phantom units awarded under the Plan vest 50% as of the first day of the month that falls closest to the second anniversary of the grant date, with the remaining 50% vesting as of the first day of the month that falls closest to the third anniversary of the grant date. The phantom units are subject to earlier vesting upon a change in control or upon achieving certain age or length of service thresholds as defined in the Plan.</w:t>
      </w:r>
    </w:p>
    <w:p>
      <w:pPr>
        <w:spacing w:after="0" w:line="11" w:lineRule="exact"/>
        <w:rPr>
          <w:rFonts w:ascii="Arial" w:cs="Arial" w:eastAsia="Arial" w:hAnsi="Arial"/>
          <w:sz w:val="12"/>
          <w:szCs w:val="12"/>
          <w:color w:val="008000"/>
        </w:rPr>
      </w:pPr>
    </w:p>
    <w:p>
      <w:pPr>
        <w:jc w:val="both"/>
        <w:ind w:left="40" w:right="140" w:hanging="3"/>
        <w:spacing w:after="0" w:line="255" w:lineRule="auto"/>
        <w:tabs>
          <w:tab w:leader="none" w:pos="16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Awards are payable as to 50% of a participant's annual award in the month containing the second anniversary of the grant date, and the remaining 50% in the month containing the third anniversary of the grant date, subject to earlier payment upon the participant's retirement after achieving the age or service thresholds, death or disability, involuntary termination without cause or termination following a change in control, each as specified in the plan. Phantom units may be paid out, in the sole discretion of the Plan Administrator, in cash or in common units, or a combination thereof.</w:t>
      </w:r>
    </w:p>
    <w:p>
      <w:pPr>
        <w:spacing w:after="0" w:line="35" w:lineRule="exact"/>
        <w:rPr>
          <w:sz w:val="24"/>
          <w:szCs w:val="24"/>
          <w:color w:val="auto"/>
        </w:rPr>
      </w:pPr>
    </w:p>
    <w:tbl>
      <w:tblPr>
        <w:tblLayout w:type="fixed"/>
        <w:tblInd w:w="6860" w:type="dxa"/>
        <w:tblCellMar>
          <w:top w:w="0" w:type="dxa"/>
          <w:left w:w="0" w:type="dxa"/>
          <w:bottom w:w="0" w:type="dxa"/>
          <w:right w:w="0" w:type="dxa"/>
        </w:tblCellMar>
      </w:tblPr>
      <w:tr>
        <w:trPr>
          <w:trHeight w:val="184"/>
        </w:trPr>
        <w:tc>
          <w:tcPr>
            <w:tcW w:w="2300" w:type="dxa"/>
            <w:vAlign w:val="bottom"/>
            <w:gridSpan w:val="2"/>
          </w:tcPr>
          <w:p>
            <w:pPr>
              <w:spacing w:after="0"/>
              <w:rPr>
                <w:sz w:val="20"/>
                <w:szCs w:val="20"/>
                <w:color w:val="auto"/>
              </w:rPr>
            </w:pPr>
            <w:r>
              <w:rPr>
                <w:rFonts w:ascii="Arial" w:cs="Arial" w:eastAsia="Arial" w:hAnsi="Arial"/>
                <w:sz w:val="16"/>
                <w:szCs w:val="16"/>
                <w:color w:val="0000FF"/>
              </w:rPr>
              <w:t>/s/ Michael Hammell</w:t>
            </w:r>
          </w:p>
        </w:tc>
        <w:tc>
          <w:tcPr>
            <w:tcW w:w="740" w:type="dxa"/>
            <w:vAlign w:val="bottom"/>
          </w:tcPr>
          <w:p>
            <w:pPr>
              <w:spacing w:after="0"/>
              <w:rPr>
                <w:sz w:val="20"/>
                <w:szCs w:val="20"/>
                <w:color w:val="auto"/>
              </w:rPr>
            </w:pPr>
            <w:r>
              <w:rPr>
                <w:rFonts w:ascii="Arial" w:cs="Arial" w:eastAsia="Arial" w:hAnsi="Arial"/>
                <w:sz w:val="16"/>
                <w:szCs w:val="16"/>
                <w:color w:val="0000FF"/>
                <w:w w:val="89"/>
              </w:rPr>
              <w:t>03/05/2018</w:t>
            </w:r>
          </w:p>
        </w:tc>
      </w:tr>
      <w:tr>
        <w:trPr>
          <w:trHeight w:val="20"/>
        </w:trPr>
        <w:tc>
          <w:tcPr>
            <w:tcW w:w="13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74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4280" w:hanging="3"/>
        <w:spacing w:after="0" w:line="324" w:lineRule="auto"/>
        <w:tabs>
          <w:tab w:leader="none" w:pos="172"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9354" TargetMode="External"/><Relationship Id="rId13" Type="http://schemas.openxmlformats.org/officeDocument/2006/relationships/hyperlink" Target="http://www.sec.gov/cgi-bin/browse-edgar?action=getcompany&amp;CIK=00013192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2019-12-04T02:04:25Z</dcterms:created>
  <dcterms:modified xsi:type="dcterms:W3CDTF">2019-12-04T02:04:25Z</dcterms:modified>
</cp:coreProperties>
</file>