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8)*</w:t>
      </w: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TransMontaigne Partners L.P.</w:t>
      </w: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COMMON UNITS</w:t>
      </w: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89376V100</w:t>
      </w: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12/31/2018</w:t>
      </w: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ind w:right="10040" w:firstLine="8"/>
        <w:spacing w:after="0" w:line="225" w:lineRule="auto"/>
        <w:tabs>
          <w:tab w:leader="none" w:pos="297" w:val="left"/>
        </w:tabs>
        <w:numPr>
          <w:ilvl w:val="0"/>
          <w:numId w:val="1"/>
        </w:numPr>
        <w:rPr>
          <w:rFonts w:ascii="Arial" w:cs="Arial" w:eastAsia="Arial" w:hAnsi="Arial"/>
          <w:sz w:val="20"/>
          <w:szCs w:val="20"/>
          <w:color w:val="auto"/>
        </w:rPr>
      </w:pPr>
      <w:r>
        <w:rPr>
          <w:rFonts w:ascii="Arial" w:cs="Arial" w:eastAsia="Arial" w:hAnsi="Arial"/>
          <w:sz w:val="20"/>
          <w:szCs w:val="20"/>
          <w:color w:val="auto"/>
        </w:rPr>
        <w:t>Rule 13d-1(b) [ ] Rule 13d-1(c)</w:t>
      </w:r>
    </w:p>
    <w:p>
      <w:pPr>
        <w:spacing w:after="0"/>
        <w:rPr>
          <w:rFonts w:ascii="Arial" w:cs="Arial" w:eastAsia="Arial" w:hAnsi="Arial"/>
          <w:sz w:val="20"/>
          <w:szCs w:val="20"/>
          <w:color w:val="auto"/>
        </w:rPr>
      </w:pPr>
      <w:r>
        <w:rPr>
          <w:rFonts w:ascii="Arial" w:cs="Arial" w:eastAsia="Arial" w:hAnsi="Arial"/>
          <w:sz w:val="20"/>
          <w:szCs w:val="20"/>
          <w:color w:val="auto"/>
        </w:rPr>
        <w:t>[ ] Rule 13d-1(d)</w:t>
      </w:r>
    </w:p>
    <w:p>
      <w:pPr>
        <w:spacing w:after="0" w:line="175" w:lineRule="exact"/>
        <w:rPr>
          <w:sz w:val="24"/>
          <w:szCs w:val="24"/>
          <w:color w:val="auto"/>
        </w:rPr>
      </w:pPr>
    </w:p>
    <w:p>
      <w:pPr>
        <w:jc w:val="both"/>
        <w:ind w:right="60"/>
        <w:spacing w:after="0" w:line="232"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7" w:lineRule="exact"/>
        <w:rPr>
          <w:sz w:val="24"/>
          <w:szCs w:val="24"/>
          <w:color w:val="auto"/>
        </w:rPr>
      </w:pPr>
    </w:p>
    <w:p>
      <w:pPr>
        <w:spacing w:after="0" w:line="232"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560"/>
          </w:cols>
          <w:pgMar w:left="160" w:top="145" w:right="179" w:bottom="1440" w:gutter="0" w:footer="0" w:header="0"/>
        </w:sectPr>
      </w:pPr>
    </w:p>
    <w:bookmarkStart w:id="1" w:name="page2"/>
    <w:bookmarkEnd w:id="1"/>
    <w:p>
      <w:pPr>
        <w:ind w:left="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106680</wp:posOffset>
            </wp:positionH>
            <wp:positionV relativeFrom="page">
              <wp:posOffset>509905</wp:posOffset>
            </wp:positionV>
            <wp:extent cx="7338060" cy="5546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5546090"/>
                    </a:xfrm>
                    <a:prstGeom prst="rect">
                      <a:avLst/>
                    </a:prstGeom>
                    <a:noFill/>
                  </pic:spPr>
                </pic:pic>
              </a:graphicData>
            </a:graphic>
          </wp:anchor>
        </w:drawing>
        <w:t>CUSIP No.: 89376V100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60" w:type="dxa"/>
            <w:vAlign w:val="bottom"/>
            <w:tcBorders>
              <w:top w:val="single" w:sz="8" w:color="auto"/>
              <w:right w:val="single" w:sz="8" w:color="auto"/>
            </w:tcBorders>
          </w:tcPr>
          <w:p>
            <w:pPr>
              <w:spacing w:after="0"/>
              <w:rPr>
                <w:sz w:val="19"/>
                <w:szCs w:val="19"/>
                <w:color w:val="auto"/>
              </w:rPr>
            </w:pPr>
          </w:p>
        </w:tc>
        <w:tc>
          <w:tcPr>
            <w:tcW w:w="10500" w:type="dxa"/>
            <w:vAlign w:val="bottom"/>
            <w:tcBorders>
              <w:top w:val="single" w:sz="8" w:color="auto"/>
            </w:tcBorders>
            <w:gridSpan w:val="2"/>
          </w:tcPr>
          <w:p>
            <w:pPr>
              <w:spacing w:after="0" w:line="226" w:lineRule="exact"/>
              <w:rPr>
                <w:sz w:val="20"/>
                <w:szCs w:val="20"/>
                <w:color w:val="auto"/>
              </w:rPr>
            </w:pPr>
            <w:r>
              <w:rPr>
                <w:rFonts w:ascii="Arial" w:cs="Arial" w:eastAsia="Arial" w:hAnsi="Arial"/>
                <w:sz w:val="20"/>
                <w:szCs w:val="20"/>
                <w:color w:val="auto"/>
              </w:rPr>
              <w:t>Names of Reporting Persons:</w:t>
            </w:r>
          </w:p>
        </w:tc>
        <w:tc>
          <w:tcPr>
            <w:tcW w:w="0" w:type="dxa"/>
            <w:vAlign w:val="bottom"/>
          </w:tcPr>
          <w:p>
            <w:pPr>
              <w:spacing w:after="0"/>
              <w:rPr>
                <w:sz w:val="1"/>
                <w:szCs w:val="1"/>
                <w:color w:val="auto"/>
              </w:rPr>
            </w:pPr>
          </w:p>
        </w:tc>
      </w:tr>
      <w:tr>
        <w:trPr>
          <w:trHeight w:val="216"/>
        </w:trPr>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5"/>
              </w:rPr>
              <w:t>1.</w:t>
            </w:r>
          </w:p>
        </w:tc>
        <w:tc>
          <w:tcPr>
            <w:tcW w:w="10500" w:type="dxa"/>
            <w:vAlign w:val="bottom"/>
            <w:gridSpan w:val="2"/>
          </w:tcPr>
          <w:p>
            <w:pPr>
              <w:spacing w:after="0" w:line="216" w:lineRule="exact"/>
              <w:rPr>
                <w:sz w:val="20"/>
                <w:szCs w:val="20"/>
                <w:color w:val="auto"/>
              </w:rPr>
            </w:pPr>
            <w:r>
              <w:rPr>
                <w:rFonts w:ascii="Arial" w:cs="Arial" w:eastAsia="Arial" w:hAnsi="Arial"/>
                <w:sz w:val="20"/>
                <w:szCs w:val="20"/>
                <w:color w:val="auto"/>
              </w:rPr>
              <w:t>OppenheimerFunds, Inc.</w:t>
            </w:r>
          </w:p>
        </w:tc>
        <w:tc>
          <w:tcPr>
            <w:tcW w:w="0" w:type="dxa"/>
            <w:vAlign w:val="bottom"/>
          </w:tcPr>
          <w:p>
            <w:pPr>
              <w:spacing w:after="0"/>
              <w:rPr>
                <w:sz w:val="1"/>
                <w:szCs w:val="1"/>
                <w:color w:val="auto"/>
              </w:rPr>
            </w:pPr>
          </w:p>
        </w:tc>
      </w:tr>
      <w:tr>
        <w:trPr>
          <w:trHeight w:val="237"/>
        </w:trPr>
        <w:tc>
          <w:tcPr>
            <w:tcW w:w="1060" w:type="dxa"/>
            <w:vAlign w:val="bottom"/>
            <w:tcBorders>
              <w:right w:val="single" w:sz="8" w:color="auto"/>
            </w:tcBorders>
          </w:tcPr>
          <w:p>
            <w:pPr>
              <w:spacing w:after="0"/>
              <w:rPr>
                <w:sz w:val="20"/>
                <w:szCs w:val="20"/>
                <w:color w:val="auto"/>
              </w:rPr>
            </w:pPr>
          </w:p>
        </w:tc>
        <w:tc>
          <w:tcPr>
            <w:tcW w:w="10500" w:type="dxa"/>
            <w:vAlign w:val="bottom"/>
            <w:gridSpan w:val="2"/>
          </w:tcPr>
          <w:p>
            <w:pPr>
              <w:spacing w:after="0"/>
              <w:rPr>
                <w:sz w:val="20"/>
                <w:szCs w:val="20"/>
                <w:color w:val="auto"/>
              </w:rPr>
            </w:pPr>
            <w:r>
              <w:rPr>
                <w:rFonts w:ascii="Arial" w:cs="Arial" w:eastAsia="Arial" w:hAnsi="Arial"/>
                <w:sz w:val="20"/>
                <w:szCs w:val="20"/>
                <w:color w:val="auto"/>
              </w:rPr>
              <w:t>IRS Identification No: 13-2527171</w:t>
            </w:r>
          </w:p>
        </w:tc>
        <w:tc>
          <w:tcPr>
            <w:tcW w:w="0" w:type="dxa"/>
            <w:vAlign w:val="bottom"/>
          </w:tcPr>
          <w:p>
            <w:pPr>
              <w:spacing w:after="0"/>
              <w:rPr>
                <w:sz w:val="1"/>
                <w:szCs w:val="1"/>
                <w:color w:val="auto"/>
              </w:rPr>
            </w:pPr>
          </w:p>
        </w:tc>
      </w:tr>
      <w:tr>
        <w:trPr>
          <w:trHeight w:val="158"/>
        </w:trPr>
        <w:tc>
          <w:tcPr>
            <w:tcW w:w="1060" w:type="dxa"/>
            <w:vAlign w:val="bottom"/>
            <w:tcBorders>
              <w:bottom w:val="single" w:sz="8" w:color="auto"/>
              <w:right w:val="single" w:sz="8" w:color="auto"/>
            </w:tcBorders>
          </w:tcPr>
          <w:p>
            <w:pPr>
              <w:spacing w:after="0"/>
              <w:rPr>
                <w:sz w:val="13"/>
                <w:szCs w:val="13"/>
                <w:color w:val="auto"/>
              </w:rPr>
            </w:pPr>
          </w:p>
        </w:tc>
        <w:tc>
          <w:tcPr>
            <w:tcW w:w="105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2.</w:t>
            </w:r>
          </w:p>
        </w:tc>
        <w:tc>
          <w:tcPr>
            <w:tcW w:w="10500" w:type="dxa"/>
            <w:vAlign w:val="bottom"/>
            <w:gridSpan w:val="2"/>
          </w:tcPr>
          <w:p>
            <w:pPr>
              <w:spacing w:after="0"/>
              <w:rPr>
                <w:sz w:val="20"/>
                <w:szCs w:val="20"/>
                <w:color w:val="auto"/>
              </w:rPr>
            </w:pPr>
            <w:r>
              <w:rPr>
                <w:rFonts w:ascii="Arial" w:cs="Arial" w:eastAsia="Arial" w:hAnsi="Arial"/>
                <w:sz w:val="20"/>
                <w:szCs w:val="20"/>
                <w:color w:val="auto"/>
              </w:rPr>
              <w:t>Check the Appropriate Box if a Member of a Group (See Instructions):</w:t>
            </w:r>
          </w:p>
        </w:tc>
        <w:tc>
          <w:tcPr>
            <w:tcW w:w="0" w:type="dxa"/>
            <w:vAlign w:val="bottom"/>
          </w:tcPr>
          <w:p>
            <w:pPr>
              <w:spacing w:after="0"/>
              <w:rPr>
                <w:sz w:val="1"/>
                <w:szCs w:val="1"/>
                <w:color w:val="auto"/>
              </w:rPr>
            </w:pPr>
          </w:p>
        </w:tc>
      </w:tr>
      <w:tr>
        <w:trPr>
          <w:trHeight w:val="104"/>
        </w:trPr>
        <w:tc>
          <w:tcPr>
            <w:tcW w:w="106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06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20"/>
                <w:szCs w:val="20"/>
                <w:color w:val="auto"/>
                <w:w w:val="95"/>
              </w:rPr>
              <w:t>3.</w:t>
            </w:r>
          </w:p>
        </w:tc>
        <w:tc>
          <w:tcPr>
            <w:tcW w:w="10500" w:type="dxa"/>
            <w:vAlign w:val="bottom"/>
            <w:gridSpan w:val="2"/>
            <w:vMerge w:val="restart"/>
            <w:shd w:val="clear" w:color="auto" w:fill="C0C0C0"/>
          </w:tcPr>
          <w:p>
            <w:pPr>
              <w:spacing w:after="0"/>
              <w:rPr>
                <w:sz w:val="20"/>
                <w:szCs w:val="20"/>
                <w:color w:val="auto"/>
              </w:rPr>
            </w:pPr>
            <w:r>
              <w:rPr>
                <w:rFonts w:ascii="Arial" w:cs="Arial" w:eastAsia="Arial" w:hAnsi="Arial"/>
                <w:sz w:val="20"/>
                <w:szCs w:val="20"/>
                <w:color w:val="auto"/>
              </w:rPr>
              <w:t>SEC Use Only</w:t>
            </w:r>
          </w:p>
        </w:tc>
        <w:tc>
          <w:tcPr>
            <w:tcW w:w="0" w:type="dxa"/>
            <w:vAlign w:val="bottom"/>
          </w:tcPr>
          <w:p>
            <w:pPr>
              <w:spacing w:after="0"/>
              <w:rPr>
                <w:sz w:val="1"/>
                <w:szCs w:val="1"/>
                <w:color w:val="auto"/>
              </w:rPr>
            </w:pPr>
          </w:p>
        </w:tc>
      </w:tr>
      <w:tr>
        <w:trPr>
          <w:trHeight w:val="108"/>
        </w:trPr>
        <w:tc>
          <w:tcPr>
            <w:tcW w:w="1060" w:type="dxa"/>
            <w:vAlign w:val="bottom"/>
            <w:tcBorders>
              <w:right w:val="single" w:sz="8" w:color="auto"/>
            </w:tcBorders>
            <w:shd w:val="clear" w:color="auto" w:fill="C0C0C0"/>
          </w:tcPr>
          <w:p>
            <w:pPr>
              <w:spacing w:after="0"/>
              <w:rPr>
                <w:sz w:val="9"/>
                <w:szCs w:val="9"/>
                <w:color w:val="auto"/>
              </w:rPr>
            </w:pPr>
          </w:p>
        </w:tc>
        <w:tc>
          <w:tcPr>
            <w:tcW w:w="10500" w:type="dxa"/>
            <w:vAlign w:val="bottom"/>
            <w:gridSpan w:val="2"/>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60" w:type="dxa"/>
            <w:vAlign w:val="bottom"/>
            <w:tcBorders>
              <w:bottom w:val="single" w:sz="8" w:color="auto"/>
              <w:right w:val="single" w:sz="8" w:color="auto"/>
            </w:tcBorders>
            <w:shd w:val="clear" w:color="auto" w:fill="C0C0C0"/>
          </w:tcPr>
          <w:p>
            <w:pPr>
              <w:spacing w:after="0"/>
              <w:rPr>
                <w:sz w:val="13"/>
                <w:szCs w:val="13"/>
                <w:color w:val="auto"/>
              </w:rPr>
            </w:pPr>
          </w:p>
        </w:tc>
        <w:tc>
          <w:tcPr>
            <w:tcW w:w="10500" w:type="dxa"/>
            <w:vAlign w:val="bottom"/>
            <w:tcBorders>
              <w:bottom w:val="single" w:sz="8" w:color="auto"/>
            </w:tcBorders>
            <w:gridSpan w:val="2"/>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4.</w:t>
            </w:r>
          </w:p>
        </w:tc>
        <w:tc>
          <w:tcPr>
            <w:tcW w:w="10500" w:type="dxa"/>
            <w:vAlign w:val="bottom"/>
            <w:gridSpan w:val="2"/>
          </w:tcPr>
          <w:p>
            <w:pPr>
              <w:spacing w:after="0" w:line="206" w:lineRule="exact"/>
              <w:rPr>
                <w:sz w:val="20"/>
                <w:szCs w:val="20"/>
                <w:color w:val="auto"/>
              </w:rPr>
            </w:pPr>
            <w:r>
              <w:rPr>
                <w:rFonts w:ascii="Arial" w:cs="Arial" w:eastAsia="Arial" w:hAnsi="Arial"/>
                <w:sz w:val="20"/>
                <w:szCs w:val="20"/>
                <w:color w:val="auto"/>
              </w:rPr>
              <w:t>Citizenship or Place of Organization:</w:t>
            </w: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vMerge w:val="continue"/>
          </w:tcPr>
          <w:p>
            <w:pPr>
              <w:spacing w:after="0"/>
              <w:rPr>
                <w:sz w:val="11"/>
                <w:szCs w:val="11"/>
                <w:color w:val="auto"/>
              </w:rPr>
            </w:pPr>
          </w:p>
        </w:tc>
        <w:tc>
          <w:tcPr>
            <w:tcW w:w="10500" w:type="dxa"/>
            <w:vAlign w:val="bottom"/>
            <w:gridSpan w:val="2"/>
            <w:vMerge w:val="restart"/>
          </w:tcPr>
          <w:p>
            <w:pPr>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108"/>
        </w:trPr>
        <w:tc>
          <w:tcPr>
            <w:tcW w:w="1060" w:type="dxa"/>
            <w:vAlign w:val="bottom"/>
            <w:tcBorders>
              <w:right w:val="single" w:sz="8" w:color="auto"/>
            </w:tcBorders>
          </w:tcPr>
          <w:p>
            <w:pPr>
              <w:spacing w:after="0"/>
              <w:rPr>
                <w:sz w:val="9"/>
                <w:szCs w:val="9"/>
                <w:color w:val="auto"/>
              </w:rPr>
            </w:pPr>
          </w:p>
        </w:tc>
        <w:tc>
          <w:tcPr>
            <w:tcW w:w="10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60" w:type="dxa"/>
            <w:vAlign w:val="bottom"/>
            <w:tcBorders>
              <w:bottom w:val="single" w:sz="8" w:color="auto"/>
              <w:right w:val="single" w:sz="8" w:color="auto"/>
            </w:tcBorders>
          </w:tcPr>
          <w:p>
            <w:pPr>
              <w:spacing w:after="0"/>
              <w:rPr>
                <w:sz w:val="13"/>
                <w:szCs w:val="13"/>
                <w:color w:val="auto"/>
              </w:rPr>
            </w:pPr>
          </w:p>
        </w:tc>
        <w:tc>
          <w:tcPr>
            <w:tcW w:w="105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60" w:type="dxa"/>
            <w:vAlign w:val="bottom"/>
            <w:tcBorders>
              <w:right w:val="single" w:sz="8" w:color="auto"/>
            </w:tcBorders>
          </w:tcPr>
          <w:p>
            <w:pPr>
              <w:spacing w:after="0"/>
              <w:rPr>
                <w:sz w:val="20"/>
                <w:szCs w:val="20"/>
                <w:color w:val="auto"/>
              </w:rPr>
            </w:pPr>
          </w:p>
        </w:tc>
        <w:tc>
          <w:tcPr>
            <w:tcW w:w="10500" w:type="dxa"/>
            <w:vAlign w:val="bottom"/>
            <w:gridSpan w:val="2"/>
          </w:tcPr>
          <w:p>
            <w:pPr>
              <w:spacing w:after="0"/>
              <w:rPr>
                <w:sz w:val="20"/>
                <w:szCs w:val="20"/>
                <w:color w:val="auto"/>
              </w:rPr>
            </w:pPr>
            <w:r>
              <w:rPr>
                <w:rFonts w:ascii="Arial" w:cs="Arial" w:eastAsia="Arial" w:hAnsi="Arial"/>
                <w:sz w:val="20"/>
                <w:szCs w:val="20"/>
                <w:color w:val="auto"/>
              </w:rPr>
              <w:t>5. Sole Voting Power: 0</w:t>
            </w:r>
          </w:p>
        </w:tc>
        <w:tc>
          <w:tcPr>
            <w:tcW w:w="0" w:type="dxa"/>
            <w:vAlign w:val="bottom"/>
          </w:tcPr>
          <w:p>
            <w:pPr>
              <w:spacing w:after="0"/>
              <w:rPr>
                <w:sz w:val="1"/>
                <w:szCs w:val="1"/>
                <w:color w:val="auto"/>
              </w:rPr>
            </w:pPr>
          </w:p>
        </w:tc>
      </w:tr>
      <w:tr>
        <w:trPr>
          <w:trHeight w:val="259"/>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Number of</w:t>
            </w:r>
          </w:p>
        </w:tc>
        <w:tc>
          <w:tcPr>
            <w:tcW w:w="180" w:type="dxa"/>
            <w:vAlign w:val="bottom"/>
          </w:tcPr>
          <w:p>
            <w:pPr>
              <w:spacing w:after="0"/>
              <w:rPr>
                <w:sz w:val="22"/>
                <w:szCs w:val="22"/>
                <w:color w:val="auto"/>
              </w:rPr>
            </w:pPr>
          </w:p>
        </w:tc>
        <w:tc>
          <w:tcPr>
            <w:tcW w:w="10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106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0"/>
                <w:szCs w:val="20"/>
                <w:color w:val="auto"/>
                <w:w w:val="97"/>
              </w:rPr>
              <w:t>Shares</w:t>
            </w:r>
          </w:p>
        </w:tc>
        <w:tc>
          <w:tcPr>
            <w:tcW w:w="180" w:type="dxa"/>
            <w:vAlign w:val="bottom"/>
            <w:tcBorders>
              <w:bottom w:val="single" w:sz="8" w:color="auto"/>
            </w:tcBorders>
          </w:tcPr>
          <w:p>
            <w:pPr>
              <w:spacing w:after="0"/>
              <w:rPr>
                <w:sz w:val="9"/>
                <w:szCs w:val="9"/>
                <w:color w:val="auto"/>
              </w:rPr>
            </w:pPr>
          </w:p>
        </w:tc>
        <w:tc>
          <w:tcPr>
            <w:tcW w:w="10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60" w:type="dxa"/>
            <w:vAlign w:val="bottom"/>
            <w:tcBorders>
              <w:right w:val="single" w:sz="8" w:color="auto"/>
            </w:tcBorders>
            <w:vMerge w:val="continue"/>
          </w:tcPr>
          <w:p>
            <w:pPr>
              <w:spacing w:after="0"/>
              <w:rPr>
                <w:sz w:val="7"/>
                <w:szCs w:val="7"/>
                <w:color w:val="auto"/>
              </w:rPr>
            </w:pPr>
          </w:p>
        </w:tc>
        <w:tc>
          <w:tcPr>
            <w:tcW w:w="180" w:type="dxa"/>
            <w:vAlign w:val="bottom"/>
            <w:vMerge w:val="restart"/>
          </w:tcPr>
          <w:p>
            <w:pPr>
              <w:spacing w:after="0"/>
              <w:rPr>
                <w:sz w:val="20"/>
                <w:szCs w:val="20"/>
                <w:color w:val="auto"/>
              </w:rPr>
            </w:pPr>
            <w:r>
              <w:rPr>
                <w:rFonts w:ascii="Arial" w:cs="Arial" w:eastAsia="Arial" w:hAnsi="Arial"/>
                <w:sz w:val="20"/>
                <w:szCs w:val="20"/>
                <w:color w:val="auto"/>
                <w:w w:val="95"/>
              </w:rPr>
              <w:t>6.</w:t>
            </w:r>
          </w:p>
        </w:tc>
        <w:tc>
          <w:tcPr>
            <w:tcW w:w="1032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 2,015,534</w:t>
            </w:r>
          </w:p>
        </w:tc>
        <w:tc>
          <w:tcPr>
            <w:tcW w:w="0" w:type="dxa"/>
            <w:vAlign w:val="bottom"/>
          </w:tcPr>
          <w:p>
            <w:pPr>
              <w:spacing w:after="0"/>
              <w:rPr>
                <w:sz w:val="1"/>
                <w:szCs w:val="1"/>
                <w:color w:val="auto"/>
              </w:rPr>
            </w:pPr>
          </w:p>
        </w:tc>
      </w:tr>
      <w:tr>
        <w:trPr>
          <w:trHeight w:val="216"/>
        </w:trPr>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Beneficially</w:t>
            </w:r>
          </w:p>
        </w:tc>
        <w:tc>
          <w:tcPr>
            <w:tcW w:w="180" w:type="dxa"/>
            <w:vAlign w:val="bottom"/>
            <w:vMerge w:val="continue"/>
          </w:tcPr>
          <w:p>
            <w:pPr>
              <w:spacing w:after="0"/>
              <w:rPr>
                <w:sz w:val="18"/>
                <w:szCs w:val="18"/>
                <w:color w:val="auto"/>
              </w:rPr>
            </w:pPr>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Owned by</w:t>
            </w:r>
          </w:p>
        </w:tc>
        <w:tc>
          <w:tcPr>
            <w:tcW w:w="18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106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0"/>
                <w:szCs w:val="20"/>
                <w:color w:val="auto"/>
              </w:rPr>
              <w:t>Each</w:t>
            </w:r>
          </w:p>
        </w:tc>
        <w:tc>
          <w:tcPr>
            <w:tcW w:w="180" w:type="dxa"/>
            <w:vAlign w:val="bottom"/>
            <w:tcBorders>
              <w:bottom w:val="single" w:sz="8" w:color="auto"/>
            </w:tcBorders>
          </w:tcPr>
          <w:p>
            <w:pPr>
              <w:spacing w:after="0"/>
              <w:rPr>
                <w:sz w:val="7"/>
                <w:szCs w:val="7"/>
                <w:color w:val="auto"/>
              </w:rPr>
            </w:pPr>
          </w:p>
        </w:tc>
        <w:tc>
          <w:tcPr>
            <w:tcW w:w="10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060" w:type="dxa"/>
            <w:vAlign w:val="bottom"/>
            <w:tcBorders>
              <w:right w:val="single" w:sz="8" w:color="auto"/>
            </w:tcBorders>
            <w:vMerge w:val="continue"/>
          </w:tcPr>
          <w:p>
            <w:pPr>
              <w:spacing w:after="0"/>
              <w:rPr>
                <w:sz w:val="9"/>
                <w:szCs w:val="9"/>
                <w:color w:val="auto"/>
              </w:rPr>
            </w:pPr>
          </w:p>
        </w:tc>
        <w:tc>
          <w:tcPr>
            <w:tcW w:w="180" w:type="dxa"/>
            <w:vAlign w:val="bottom"/>
            <w:vMerge w:val="restart"/>
          </w:tcPr>
          <w:p>
            <w:pPr>
              <w:spacing w:after="0"/>
              <w:rPr>
                <w:sz w:val="20"/>
                <w:szCs w:val="20"/>
                <w:color w:val="auto"/>
              </w:rPr>
            </w:pPr>
            <w:r>
              <w:rPr>
                <w:rFonts w:ascii="Arial" w:cs="Arial" w:eastAsia="Arial" w:hAnsi="Arial"/>
                <w:sz w:val="20"/>
                <w:szCs w:val="20"/>
                <w:color w:val="auto"/>
                <w:w w:val="95"/>
              </w:rPr>
              <w:t>7.</w:t>
            </w:r>
          </w:p>
        </w:tc>
        <w:tc>
          <w:tcPr>
            <w:tcW w:w="1032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 0</w:t>
            </w:r>
          </w:p>
        </w:tc>
        <w:tc>
          <w:tcPr>
            <w:tcW w:w="0" w:type="dxa"/>
            <w:vAlign w:val="bottom"/>
          </w:tcPr>
          <w:p>
            <w:pPr>
              <w:spacing w:after="0"/>
              <w:rPr>
                <w:sz w:val="1"/>
                <w:szCs w:val="1"/>
                <w:color w:val="auto"/>
              </w:rPr>
            </w:pPr>
          </w:p>
        </w:tc>
      </w:tr>
      <w:tr>
        <w:trPr>
          <w:trHeight w:val="216"/>
        </w:trPr>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9"/>
              </w:rPr>
              <w:t>Reporting</w:t>
            </w:r>
          </w:p>
        </w:tc>
        <w:tc>
          <w:tcPr>
            <w:tcW w:w="180" w:type="dxa"/>
            <w:vAlign w:val="bottom"/>
            <w:vMerge w:val="continue"/>
          </w:tcPr>
          <w:p>
            <w:pPr>
              <w:spacing w:after="0"/>
              <w:rPr>
                <w:sz w:val="18"/>
                <w:szCs w:val="18"/>
                <w:color w:val="auto"/>
              </w:rPr>
            </w:pPr>
          </w:p>
        </w:tc>
        <w:tc>
          <w:tcPr>
            <w:tcW w:w="10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7"/>
              </w:rPr>
              <w:t>Person</w:t>
            </w:r>
          </w:p>
        </w:tc>
        <w:tc>
          <w:tcPr>
            <w:tcW w:w="18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With</w:t>
            </w:r>
          </w:p>
        </w:tc>
        <w:tc>
          <w:tcPr>
            <w:tcW w:w="180" w:type="dxa"/>
            <w:vAlign w:val="bottom"/>
            <w:tcBorders>
              <w:bottom w:val="single" w:sz="8" w:color="auto"/>
            </w:tcBorders>
          </w:tcPr>
          <w:p>
            <w:pPr>
              <w:spacing w:after="0"/>
              <w:rPr>
                <w:sz w:val="5"/>
                <w:szCs w:val="5"/>
                <w:color w:val="auto"/>
              </w:rPr>
            </w:pPr>
          </w:p>
        </w:tc>
        <w:tc>
          <w:tcPr>
            <w:tcW w:w="10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060" w:type="dxa"/>
            <w:vAlign w:val="bottom"/>
            <w:tcBorders>
              <w:right w:val="single" w:sz="8" w:color="auto"/>
            </w:tcBorders>
            <w:vMerge w:val="continue"/>
          </w:tcPr>
          <w:p>
            <w:pPr>
              <w:spacing w:after="0"/>
              <w:rPr>
                <w:sz w:val="13"/>
                <w:szCs w:val="13"/>
                <w:color w:val="auto"/>
              </w:rPr>
            </w:pPr>
          </w:p>
        </w:tc>
        <w:tc>
          <w:tcPr>
            <w:tcW w:w="10500" w:type="dxa"/>
            <w:vAlign w:val="bottom"/>
            <w:gridSpan w:val="2"/>
            <w:vMerge w:val="restart"/>
          </w:tcPr>
          <w:p>
            <w:pPr>
              <w:spacing w:after="0"/>
              <w:rPr>
                <w:sz w:val="20"/>
                <w:szCs w:val="20"/>
                <w:color w:val="auto"/>
              </w:rPr>
            </w:pPr>
            <w:r>
              <w:rPr>
                <w:rFonts w:ascii="Arial" w:cs="Arial" w:eastAsia="Arial" w:hAnsi="Arial"/>
                <w:sz w:val="20"/>
                <w:szCs w:val="20"/>
                <w:color w:val="auto"/>
              </w:rPr>
              <w:t>8. Shared Dispositive Power: 2,015,534</w:t>
            </w:r>
          </w:p>
        </w:tc>
        <w:tc>
          <w:tcPr>
            <w:tcW w:w="0" w:type="dxa"/>
            <w:vAlign w:val="bottom"/>
          </w:tcPr>
          <w:p>
            <w:pPr>
              <w:spacing w:after="0"/>
              <w:rPr>
                <w:sz w:val="1"/>
                <w:szCs w:val="1"/>
                <w:color w:val="auto"/>
              </w:rPr>
            </w:pPr>
          </w:p>
        </w:tc>
      </w:tr>
      <w:tr>
        <w:trPr>
          <w:trHeight w:val="71"/>
        </w:trPr>
        <w:tc>
          <w:tcPr>
            <w:tcW w:w="1060" w:type="dxa"/>
            <w:vAlign w:val="bottom"/>
            <w:tcBorders>
              <w:right w:val="single" w:sz="8" w:color="auto"/>
            </w:tcBorders>
          </w:tcPr>
          <w:p>
            <w:pPr>
              <w:spacing w:after="0"/>
              <w:rPr>
                <w:sz w:val="6"/>
                <w:szCs w:val="6"/>
                <w:color w:val="auto"/>
              </w:rPr>
            </w:pPr>
          </w:p>
        </w:tc>
        <w:tc>
          <w:tcPr>
            <w:tcW w:w="10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106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9.</w:t>
            </w:r>
          </w:p>
        </w:tc>
        <w:tc>
          <w:tcPr>
            <w:tcW w:w="10500" w:type="dxa"/>
            <w:vAlign w:val="bottom"/>
            <w:gridSpan w:val="2"/>
          </w:tcPr>
          <w:p>
            <w:pPr>
              <w:spacing w:after="0" w:line="206" w:lineRule="exact"/>
              <w:rPr>
                <w:sz w:val="20"/>
                <w:szCs w:val="20"/>
                <w:color w:val="auto"/>
              </w:rPr>
            </w:pPr>
            <w:r>
              <w:rPr>
                <w:rFonts w:ascii="Arial" w:cs="Arial" w:eastAsia="Arial" w:hAnsi="Arial"/>
                <w:sz w:val="20"/>
                <w:szCs w:val="20"/>
                <w:color w:val="auto"/>
              </w:rPr>
              <w:t>Aggregate Amount Beneficially Owned by Each Reporting Person:</w:t>
            </w:r>
          </w:p>
        </w:tc>
        <w:tc>
          <w:tcPr>
            <w:tcW w:w="0" w:type="dxa"/>
            <w:vAlign w:val="bottom"/>
          </w:tcPr>
          <w:p>
            <w:pPr>
              <w:spacing w:after="0"/>
              <w:rPr>
                <w:sz w:val="1"/>
                <w:szCs w:val="1"/>
                <w:color w:val="auto"/>
              </w:rPr>
            </w:pPr>
          </w:p>
        </w:tc>
      </w:tr>
      <w:tr>
        <w:trPr>
          <w:trHeight w:val="129"/>
        </w:trPr>
        <w:tc>
          <w:tcPr>
            <w:tcW w:w="1060" w:type="dxa"/>
            <w:vAlign w:val="bottom"/>
            <w:tcBorders>
              <w:right w:val="single" w:sz="8" w:color="auto"/>
            </w:tcBorders>
            <w:vMerge w:val="continue"/>
          </w:tcPr>
          <w:p>
            <w:pPr>
              <w:spacing w:after="0"/>
              <w:rPr>
                <w:sz w:val="11"/>
                <w:szCs w:val="11"/>
                <w:color w:val="auto"/>
              </w:rPr>
            </w:pPr>
          </w:p>
        </w:tc>
        <w:tc>
          <w:tcPr>
            <w:tcW w:w="10500" w:type="dxa"/>
            <w:vAlign w:val="bottom"/>
            <w:gridSpan w:val="2"/>
            <w:vMerge w:val="restart"/>
          </w:tcPr>
          <w:p>
            <w:pPr>
              <w:spacing w:after="0"/>
              <w:rPr>
                <w:sz w:val="20"/>
                <w:szCs w:val="20"/>
                <w:color w:val="auto"/>
              </w:rPr>
            </w:pPr>
            <w:r>
              <w:rPr>
                <w:rFonts w:ascii="Arial" w:cs="Arial" w:eastAsia="Arial" w:hAnsi="Arial"/>
                <w:sz w:val="20"/>
                <w:szCs w:val="20"/>
                <w:color w:val="auto"/>
              </w:rPr>
              <w:t>2,015,534</w:t>
            </w:r>
          </w:p>
        </w:tc>
        <w:tc>
          <w:tcPr>
            <w:tcW w:w="0" w:type="dxa"/>
            <w:vAlign w:val="bottom"/>
          </w:tcPr>
          <w:p>
            <w:pPr>
              <w:spacing w:after="0"/>
              <w:rPr>
                <w:sz w:val="1"/>
                <w:szCs w:val="1"/>
                <w:color w:val="auto"/>
              </w:rPr>
            </w:pPr>
          </w:p>
        </w:tc>
      </w:tr>
      <w:tr>
        <w:trPr>
          <w:trHeight w:val="108"/>
        </w:trPr>
        <w:tc>
          <w:tcPr>
            <w:tcW w:w="1060" w:type="dxa"/>
            <w:vAlign w:val="bottom"/>
            <w:tcBorders>
              <w:right w:val="single" w:sz="8" w:color="auto"/>
            </w:tcBorders>
          </w:tcPr>
          <w:p>
            <w:pPr>
              <w:spacing w:after="0"/>
              <w:rPr>
                <w:sz w:val="9"/>
                <w:szCs w:val="9"/>
                <w:color w:val="auto"/>
              </w:rPr>
            </w:pPr>
          </w:p>
        </w:tc>
        <w:tc>
          <w:tcPr>
            <w:tcW w:w="10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60" w:type="dxa"/>
            <w:vAlign w:val="bottom"/>
            <w:tcBorders>
              <w:bottom w:val="single" w:sz="8" w:color="auto"/>
              <w:right w:val="single" w:sz="8" w:color="auto"/>
            </w:tcBorders>
          </w:tcPr>
          <w:p>
            <w:pPr>
              <w:spacing w:after="0"/>
              <w:rPr>
                <w:sz w:val="13"/>
                <w:szCs w:val="13"/>
                <w:color w:val="auto"/>
              </w:rPr>
            </w:pPr>
          </w:p>
        </w:tc>
        <w:tc>
          <w:tcPr>
            <w:tcW w:w="1050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60" w:type="dxa"/>
            <w:vAlign w:val="bottom"/>
            <w:tcBorders>
              <w:right w:val="single" w:sz="8" w:color="auto"/>
            </w:tcBorders>
          </w:tcPr>
          <w:p>
            <w:pPr>
              <w:spacing w:after="0"/>
              <w:rPr>
                <w:sz w:val="17"/>
                <w:szCs w:val="17"/>
                <w:color w:val="auto"/>
              </w:rPr>
            </w:pPr>
          </w:p>
        </w:tc>
        <w:tc>
          <w:tcPr>
            <w:tcW w:w="10500" w:type="dxa"/>
            <w:vAlign w:val="bottom"/>
            <w:gridSpan w:val="2"/>
          </w:tcPr>
          <w:p>
            <w:pPr>
              <w:spacing w:after="0" w:line="206" w:lineRule="exact"/>
              <w:rPr>
                <w:sz w:val="20"/>
                <w:szCs w:val="20"/>
                <w:color w:val="auto"/>
              </w:rPr>
            </w:pPr>
            <w:r>
              <w:rPr>
                <w:rFonts w:ascii="Arial" w:cs="Arial" w:eastAsia="Arial" w:hAnsi="Arial"/>
                <w:sz w:val="20"/>
                <w:szCs w:val="20"/>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7"/>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10.</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10320" w:type="dxa"/>
            <w:vAlign w:val="bottom"/>
          </w:tcPr>
          <w:p>
            <w:pPr>
              <w:jc w:val="right"/>
              <w:ind w:right="10198"/>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374"/>
        </w:trPr>
        <w:tc>
          <w:tcPr>
            <w:tcW w:w="106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60" w:type="dxa"/>
            <w:vAlign w:val="bottom"/>
            <w:tcBorders>
              <w:right w:val="single" w:sz="8" w:color="auto"/>
            </w:tcBorders>
          </w:tcPr>
          <w:p>
            <w:pPr>
              <w:spacing w:after="0"/>
              <w:rPr>
                <w:sz w:val="17"/>
                <w:szCs w:val="17"/>
                <w:color w:val="auto"/>
              </w:rPr>
            </w:pPr>
          </w:p>
        </w:tc>
        <w:tc>
          <w:tcPr>
            <w:tcW w:w="10500" w:type="dxa"/>
            <w:vAlign w:val="bottom"/>
            <w:gridSpan w:val="2"/>
          </w:tcPr>
          <w:p>
            <w:pPr>
              <w:spacing w:after="0" w:line="206" w:lineRule="exact"/>
              <w:rPr>
                <w:sz w:val="20"/>
                <w:szCs w:val="20"/>
                <w:color w:val="auto"/>
              </w:rPr>
            </w:pPr>
            <w:r>
              <w:rPr>
                <w:rFonts w:ascii="Arial" w:cs="Arial" w:eastAsia="Arial" w:hAnsi="Arial"/>
                <w:sz w:val="20"/>
                <w:szCs w:val="20"/>
                <w:color w:val="auto"/>
              </w:rPr>
              <w:t>Percent of Class Represented by Amount in Row (9):</w:t>
            </w:r>
          </w:p>
        </w:tc>
        <w:tc>
          <w:tcPr>
            <w:tcW w:w="0" w:type="dxa"/>
            <w:vAlign w:val="bottom"/>
          </w:tcPr>
          <w:p>
            <w:pPr>
              <w:spacing w:after="0"/>
              <w:rPr>
                <w:sz w:val="1"/>
                <w:szCs w:val="1"/>
                <w:color w:val="auto"/>
              </w:rPr>
            </w:pPr>
          </w:p>
        </w:tc>
      </w:tr>
      <w:tr>
        <w:trPr>
          <w:trHeight w:val="237"/>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11.</w:t>
            </w:r>
          </w:p>
        </w:tc>
        <w:tc>
          <w:tcPr>
            <w:tcW w:w="10500" w:type="dxa"/>
            <w:vAlign w:val="bottom"/>
            <w:gridSpan w:val="2"/>
          </w:tcPr>
          <w:p>
            <w:pPr>
              <w:spacing w:after="0"/>
              <w:rPr>
                <w:sz w:val="20"/>
                <w:szCs w:val="20"/>
                <w:color w:val="auto"/>
              </w:rPr>
            </w:pPr>
            <w:r>
              <w:rPr>
                <w:rFonts w:ascii="Arial" w:cs="Arial" w:eastAsia="Arial" w:hAnsi="Arial"/>
                <w:sz w:val="20"/>
                <w:szCs w:val="20"/>
                <w:color w:val="auto"/>
              </w:rPr>
              <w:t>12.42%</w:t>
            </w:r>
          </w:p>
        </w:tc>
        <w:tc>
          <w:tcPr>
            <w:tcW w:w="0" w:type="dxa"/>
            <w:vAlign w:val="bottom"/>
          </w:tcPr>
          <w:p>
            <w:pPr>
              <w:spacing w:after="0"/>
              <w:rPr>
                <w:sz w:val="1"/>
                <w:szCs w:val="1"/>
                <w:color w:val="auto"/>
              </w:rPr>
            </w:pPr>
          </w:p>
        </w:tc>
      </w:tr>
      <w:tr>
        <w:trPr>
          <w:trHeight w:val="374"/>
        </w:trPr>
        <w:tc>
          <w:tcPr>
            <w:tcW w:w="106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60" w:type="dxa"/>
            <w:vAlign w:val="bottom"/>
            <w:tcBorders>
              <w:right w:val="single" w:sz="8" w:color="auto"/>
            </w:tcBorders>
          </w:tcPr>
          <w:p>
            <w:pPr>
              <w:spacing w:after="0"/>
              <w:rPr>
                <w:sz w:val="17"/>
                <w:szCs w:val="17"/>
                <w:color w:val="auto"/>
              </w:rPr>
            </w:pPr>
          </w:p>
        </w:tc>
        <w:tc>
          <w:tcPr>
            <w:tcW w:w="10500" w:type="dxa"/>
            <w:vAlign w:val="bottom"/>
            <w:gridSpan w:val="2"/>
          </w:tcPr>
          <w:p>
            <w:pPr>
              <w:spacing w:after="0" w:line="206" w:lineRule="exact"/>
              <w:rPr>
                <w:sz w:val="20"/>
                <w:szCs w:val="20"/>
                <w:color w:val="auto"/>
              </w:rPr>
            </w:pPr>
            <w:r>
              <w:rPr>
                <w:rFonts w:ascii="Arial" w:cs="Arial" w:eastAsia="Arial" w:hAnsi="Arial"/>
                <w:sz w:val="20"/>
                <w:szCs w:val="20"/>
                <w:color w:val="auto"/>
              </w:rPr>
              <w:t>Type of Reporting Person (See Instructions):</w:t>
            </w:r>
          </w:p>
        </w:tc>
        <w:tc>
          <w:tcPr>
            <w:tcW w:w="0" w:type="dxa"/>
            <w:vAlign w:val="bottom"/>
          </w:tcPr>
          <w:p>
            <w:pPr>
              <w:spacing w:after="0"/>
              <w:rPr>
                <w:sz w:val="1"/>
                <w:szCs w:val="1"/>
                <w:color w:val="auto"/>
              </w:rPr>
            </w:pPr>
          </w:p>
        </w:tc>
      </w:tr>
      <w:tr>
        <w:trPr>
          <w:trHeight w:val="237"/>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12.</w:t>
            </w:r>
          </w:p>
        </w:tc>
        <w:tc>
          <w:tcPr>
            <w:tcW w:w="10500" w:type="dxa"/>
            <w:vAlign w:val="bottom"/>
            <w:gridSpan w:val="2"/>
          </w:tcPr>
          <w:p>
            <w:pPr>
              <w:spacing w:after="0"/>
              <w:rPr>
                <w:sz w:val="20"/>
                <w:szCs w:val="20"/>
                <w:color w:val="auto"/>
              </w:rPr>
            </w:pPr>
            <w:r>
              <w:rPr>
                <w:rFonts w:ascii="Arial" w:cs="Arial" w:eastAsia="Arial" w:hAnsi="Arial"/>
                <w:sz w:val="20"/>
                <w:szCs w:val="20"/>
                <w:color w:val="auto"/>
              </w:rPr>
              <w:t>IA</w:t>
            </w:r>
          </w:p>
        </w:tc>
        <w:tc>
          <w:tcPr>
            <w:tcW w:w="0" w:type="dxa"/>
            <w:vAlign w:val="bottom"/>
          </w:tcPr>
          <w:p>
            <w:pPr>
              <w:spacing w:after="0"/>
              <w:rPr>
                <w:sz w:val="1"/>
                <w:szCs w:val="1"/>
                <w:color w:val="auto"/>
              </w:rPr>
            </w:pPr>
          </w:p>
        </w:tc>
      </w:tr>
      <w:tr>
        <w:trPr>
          <w:trHeight w:val="374"/>
        </w:trPr>
        <w:tc>
          <w:tcPr>
            <w:tcW w:w="10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12" w:right="179" w:bottom="1440" w:gutter="0" w:footer="0" w:header="0"/>
        </w:sectPr>
      </w:pPr>
    </w:p>
    <w:bookmarkStart w:id="2" w:name="page3"/>
    <w:bookmarkEnd w:id="2"/>
    <w:p>
      <w:pPr>
        <w:ind w:left="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106680</wp:posOffset>
            </wp:positionH>
            <wp:positionV relativeFrom="page">
              <wp:posOffset>509905</wp:posOffset>
            </wp:positionV>
            <wp:extent cx="7338060" cy="598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5983605"/>
                    </a:xfrm>
                    <a:prstGeom prst="rect">
                      <a:avLst/>
                    </a:prstGeom>
                    <a:noFill/>
                  </pic:spPr>
                </pic:pic>
              </a:graphicData>
            </a:graphic>
          </wp:anchor>
        </w:drawing>
        <w:t>Item:</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80" w:type="dxa"/>
            <w:vAlign w:val="bottom"/>
            <w:tcBorders>
              <w:top w:val="single" w:sz="8" w:color="auto"/>
            </w:tcBorders>
            <w:vMerge w:val="restart"/>
          </w:tcPr>
          <w:p>
            <w:pPr>
              <w:ind w:left="480"/>
              <w:spacing w:after="0"/>
              <w:rPr>
                <w:sz w:val="20"/>
                <w:szCs w:val="20"/>
                <w:color w:val="auto"/>
              </w:rPr>
            </w:pPr>
            <w:r>
              <w:rPr>
                <w:rFonts w:ascii="Arial" w:cs="Arial" w:eastAsia="Arial" w:hAnsi="Arial"/>
                <w:sz w:val="20"/>
                <w:szCs w:val="20"/>
                <w:color w:val="auto"/>
              </w:rPr>
              <w:t>1(a)</w:t>
            </w:r>
          </w:p>
        </w:tc>
        <w:tc>
          <w:tcPr>
            <w:tcW w:w="10480" w:type="dxa"/>
            <w:vAlign w:val="bottom"/>
            <w:tcBorders>
              <w:top w:val="single" w:sz="8" w:color="auto"/>
            </w:tcBorders>
          </w:tcPr>
          <w:p>
            <w:pPr>
              <w:ind w:left="240"/>
              <w:spacing w:after="0" w:line="226" w:lineRule="exact"/>
              <w:rPr>
                <w:sz w:val="20"/>
                <w:szCs w:val="20"/>
                <w:color w:val="auto"/>
              </w:rPr>
            </w:pPr>
            <w:r>
              <w:rPr>
                <w:rFonts w:ascii="Arial" w:cs="Arial" w:eastAsia="Arial" w:hAnsi="Arial"/>
                <w:sz w:val="20"/>
                <w:szCs w:val="20"/>
                <w:color w:val="auto"/>
              </w:rPr>
              <w:t>Name of Issuer:</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0480" w:type="dxa"/>
            <w:vAlign w:val="bottom"/>
            <w:vMerge w:val="restart"/>
          </w:tcPr>
          <w:p>
            <w:pPr>
              <w:ind w:left="240"/>
              <w:spacing w:after="0"/>
              <w:rPr>
                <w:sz w:val="20"/>
                <w:szCs w:val="20"/>
                <w:color w:val="auto"/>
              </w:rPr>
            </w:pPr>
            <w:r>
              <w:rPr>
                <w:rFonts w:ascii="Arial" w:cs="Arial" w:eastAsia="Arial" w:hAnsi="Arial"/>
                <w:sz w:val="20"/>
                <w:szCs w:val="20"/>
                <w:color w:val="auto"/>
              </w:rPr>
              <w:t>TransMontaigne Partners L.P.</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tcBorders>
              <w:bottom w:val="single" w:sz="8" w:color="auto"/>
            </w:tcBorders>
          </w:tcPr>
          <w:p>
            <w:pPr>
              <w:spacing w:after="0"/>
              <w:rPr>
                <w:sz w:val="13"/>
                <w:szCs w:val="13"/>
                <w:color w:val="auto"/>
              </w:rPr>
            </w:pPr>
          </w:p>
        </w:tc>
        <w:tc>
          <w:tcPr>
            <w:tcW w:w="10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10480" w:type="dxa"/>
            <w:vAlign w:val="bottom"/>
          </w:tcPr>
          <w:p>
            <w:pPr>
              <w:ind w:left="240"/>
              <w:spacing w:after="0" w:line="206" w:lineRule="exact"/>
              <w:rPr>
                <w:sz w:val="20"/>
                <w:szCs w:val="20"/>
                <w:color w:val="auto"/>
              </w:rPr>
            </w:pPr>
            <w:r>
              <w:rPr>
                <w:rFonts w:ascii="Arial" w:cs="Arial" w:eastAsia="Arial" w:hAnsi="Arial"/>
                <w:sz w:val="20"/>
                <w:szCs w:val="20"/>
                <w:color w:val="auto"/>
              </w:rPr>
              <w:t>Address of Issuer's Principal Executive Offices:</w:t>
            </w:r>
          </w:p>
        </w:tc>
        <w:tc>
          <w:tcPr>
            <w:tcW w:w="0" w:type="dxa"/>
            <w:vAlign w:val="bottom"/>
          </w:tcPr>
          <w:p>
            <w:pPr>
              <w:spacing w:after="0"/>
              <w:rPr>
                <w:sz w:val="1"/>
                <w:szCs w:val="1"/>
                <w:color w:val="auto"/>
              </w:rPr>
            </w:pPr>
          </w:p>
        </w:tc>
      </w:tr>
      <w:tr>
        <w:trPr>
          <w:trHeight w:val="216"/>
        </w:trPr>
        <w:tc>
          <w:tcPr>
            <w:tcW w:w="1080" w:type="dxa"/>
            <w:vAlign w:val="bottom"/>
          </w:tcPr>
          <w:p>
            <w:pPr>
              <w:ind w:left="480"/>
              <w:spacing w:after="0" w:line="216" w:lineRule="exact"/>
              <w:rPr>
                <w:sz w:val="20"/>
                <w:szCs w:val="20"/>
                <w:color w:val="auto"/>
              </w:rPr>
            </w:pPr>
            <w:r>
              <w:rPr>
                <w:rFonts w:ascii="Arial" w:cs="Arial" w:eastAsia="Arial" w:hAnsi="Arial"/>
                <w:sz w:val="20"/>
                <w:szCs w:val="20"/>
                <w:color w:val="auto"/>
              </w:rPr>
              <w:t>1(b)</w:t>
            </w:r>
          </w:p>
        </w:tc>
        <w:tc>
          <w:tcPr>
            <w:tcW w:w="10480" w:type="dxa"/>
            <w:vAlign w:val="bottom"/>
          </w:tcPr>
          <w:p>
            <w:pPr>
              <w:ind w:left="240"/>
              <w:spacing w:after="0" w:line="216" w:lineRule="exact"/>
              <w:rPr>
                <w:sz w:val="20"/>
                <w:szCs w:val="20"/>
                <w:color w:val="auto"/>
              </w:rPr>
            </w:pPr>
            <w:r>
              <w:rPr>
                <w:rFonts w:ascii="Arial" w:cs="Arial" w:eastAsia="Arial" w:hAnsi="Arial"/>
                <w:sz w:val="20"/>
                <w:szCs w:val="20"/>
                <w:color w:val="auto"/>
              </w:rPr>
              <w:t>1670 BROADWAY, SUITE 3100</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10480" w:type="dxa"/>
            <w:vAlign w:val="bottom"/>
          </w:tcPr>
          <w:p>
            <w:pPr>
              <w:ind w:left="240"/>
              <w:spacing w:after="0"/>
              <w:rPr>
                <w:sz w:val="20"/>
                <w:szCs w:val="20"/>
                <w:color w:val="auto"/>
              </w:rPr>
            </w:pPr>
            <w:r>
              <w:rPr>
                <w:rFonts w:ascii="Arial" w:cs="Arial" w:eastAsia="Arial" w:hAnsi="Arial"/>
                <w:sz w:val="20"/>
                <w:szCs w:val="20"/>
                <w:color w:val="auto"/>
              </w:rPr>
              <w:t>DENVER CO 80202</w:t>
            </w: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spacing w:after="0"/>
              <w:rPr>
                <w:sz w:val="17"/>
                <w:szCs w:val="17"/>
                <w:color w:val="auto"/>
              </w:rPr>
            </w:pPr>
          </w:p>
        </w:tc>
        <w:tc>
          <w:tcPr>
            <w:tcW w:w="10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80" w:type="dxa"/>
            <w:vAlign w:val="bottom"/>
            <w:vMerge w:val="restart"/>
          </w:tcPr>
          <w:p>
            <w:pPr>
              <w:ind w:left="480"/>
              <w:spacing w:after="0"/>
              <w:rPr>
                <w:sz w:val="20"/>
                <w:szCs w:val="20"/>
                <w:color w:val="auto"/>
              </w:rPr>
            </w:pPr>
            <w:r>
              <w:rPr>
                <w:rFonts w:ascii="Arial" w:cs="Arial" w:eastAsia="Arial" w:hAnsi="Arial"/>
                <w:sz w:val="20"/>
                <w:szCs w:val="20"/>
                <w:color w:val="auto"/>
              </w:rPr>
              <w:t>2(a)</w:t>
            </w:r>
          </w:p>
        </w:tc>
        <w:tc>
          <w:tcPr>
            <w:tcW w:w="10480" w:type="dxa"/>
            <w:vAlign w:val="bottom"/>
          </w:tcPr>
          <w:p>
            <w:pPr>
              <w:ind w:left="240"/>
              <w:spacing w:after="0" w:line="206" w:lineRule="exact"/>
              <w:rPr>
                <w:sz w:val="20"/>
                <w:szCs w:val="20"/>
                <w:color w:val="auto"/>
              </w:rPr>
            </w:pPr>
            <w:r>
              <w:rPr>
                <w:rFonts w:ascii="Arial" w:cs="Arial" w:eastAsia="Arial" w:hAnsi="Arial"/>
                <w:sz w:val="20"/>
                <w:szCs w:val="20"/>
                <w:color w:val="auto"/>
              </w:rPr>
              <w:t>Name of Person Filing:</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0480" w:type="dxa"/>
            <w:vAlign w:val="bottom"/>
            <w:vMerge w:val="restart"/>
          </w:tcPr>
          <w:p>
            <w:pPr>
              <w:ind w:left="240"/>
              <w:spacing w:after="0"/>
              <w:rPr>
                <w:sz w:val="20"/>
                <w:szCs w:val="20"/>
                <w:color w:val="auto"/>
              </w:rPr>
            </w:pPr>
            <w:r>
              <w:rPr>
                <w:rFonts w:ascii="Arial" w:cs="Arial" w:eastAsia="Arial" w:hAnsi="Arial"/>
                <w:sz w:val="20"/>
                <w:szCs w:val="20"/>
                <w:color w:val="auto"/>
              </w:rPr>
              <w:t>OppenheimerFunds, Inc.</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tcBorders>
              <w:bottom w:val="single" w:sz="8" w:color="auto"/>
            </w:tcBorders>
          </w:tcPr>
          <w:p>
            <w:pPr>
              <w:spacing w:after="0"/>
              <w:rPr>
                <w:sz w:val="13"/>
                <w:szCs w:val="13"/>
                <w:color w:val="auto"/>
              </w:rPr>
            </w:pPr>
          </w:p>
        </w:tc>
        <w:tc>
          <w:tcPr>
            <w:tcW w:w="10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80" w:type="dxa"/>
            <w:vAlign w:val="bottom"/>
            <w:vMerge w:val="restart"/>
          </w:tcPr>
          <w:p>
            <w:pPr>
              <w:ind w:left="480"/>
              <w:spacing w:after="0"/>
              <w:rPr>
                <w:sz w:val="20"/>
                <w:szCs w:val="20"/>
                <w:color w:val="auto"/>
              </w:rPr>
            </w:pPr>
            <w:r>
              <w:rPr>
                <w:rFonts w:ascii="Arial" w:cs="Arial" w:eastAsia="Arial" w:hAnsi="Arial"/>
                <w:sz w:val="20"/>
                <w:szCs w:val="20"/>
                <w:color w:val="auto"/>
              </w:rPr>
              <w:t>2(b)</w:t>
            </w:r>
          </w:p>
        </w:tc>
        <w:tc>
          <w:tcPr>
            <w:tcW w:w="10480" w:type="dxa"/>
            <w:vAlign w:val="bottom"/>
          </w:tcPr>
          <w:p>
            <w:pPr>
              <w:ind w:left="240"/>
              <w:spacing w:after="0" w:line="206" w:lineRule="exact"/>
              <w:rPr>
                <w:sz w:val="20"/>
                <w:szCs w:val="20"/>
                <w:color w:val="auto"/>
              </w:rPr>
            </w:pPr>
            <w:r>
              <w:rPr>
                <w:rFonts w:ascii="Arial" w:cs="Arial" w:eastAsia="Arial" w:hAnsi="Arial"/>
                <w:sz w:val="20"/>
                <w:szCs w:val="20"/>
                <w:color w:val="auto"/>
              </w:rPr>
              <w:t>Address of Principal Business Office or, if none, Residence:</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0480" w:type="dxa"/>
            <w:vAlign w:val="bottom"/>
            <w:vMerge w:val="restart"/>
          </w:tcPr>
          <w:p>
            <w:pPr>
              <w:ind w:left="240"/>
              <w:spacing w:after="0"/>
              <w:rPr>
                <w:sz w:val="20"/>
                <w:szCs w:val="20"/>
                <w:color w:val="auto"/>
              </w:rPr>
            </w:pPr>
            <w:r>
              <w:rPr>
                <w:rFonts w:ascii="Arial" w:cs="Arial" w:eastAsia="Arial" w:hAnsi="Arial"/>
                <w:sz w:val="20"/>
                <w:szCs w:val="20"/>
                <w:color w:val="auto"/>
              </w:rPr>
              <w:t>225 Liberty Street New York, NY 10281</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tcBorders>
              <w:bottom w:val="single" w:sz="8" w:color="auto"/>
            </w:tcBorders>
          </w:tcPr>
          <w:p>
            <w:pPr>
              <w:spacing w:after="0"/>
              <w:rPr>
                <w:sz w:val="13"/>
                <w:szCs w:val="13"/>
                <w:color w:val="auto"/>
              </w:rPr>
            </w:pPr>
          </w:p>
        </w:tc>
        <w:tc>
          <w:tcPr>
            <w:tcW w:w="10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80" w:type="dxa"/>
            <w:vAlign w:val="bottom"/>
            <w:vMerge w:val="restart"/>
          </w:tcPr>
          <w:p>
            <w:pPr>
              <w:ind w:left="480"/>
              <w:spacing w:after="0"/>
              <w:rPr>
                <w:sz w:val="20"/>
                <w:szCs w:val="20"/>
                <w:color w:val="auto"/>
              </w:rPr>
            </w:pPr>
            <w:r>
              <w:rPr>
                <w:rFonts w:ascii="Arial" w:cs="Arial" w:eastAsia="Arial" w:hAnsi="Arial"/>
                <w:sz w:val="20"/>
                <w:szCs w:val="20"/>
                <w:color w:val="auto"/>
              </w:rPr>
              <w:t>2(c)</w:t>
            </w:r>
          </w:p>
        </w:tc>
        <w:tc>
          <w:tcPr>
            <w:tcW w:w="10480" w:type="dxa"/>
            <w:vAlign w:val="bottom"/>
          </w:tcPr>
          <w:p>
            <w:pPr>
              <w:ind w:left="240"/>
              <w:spacing w:after="0" w:line="206" w:lineRule="exact"/>
              <w:rPr>
                <w:sz w:val="20"/>
                <w:szCs w:val="20"/>
                <w:color w:val="auto"/>
              </w:rPr>
            </w:pPr>
            <w:r>
              <w:rPr>
                <w:rFonts w:ascii="Arial" w:cs="Arial" w:eastAsia="Arial" w:hAnsi="Arial"/>
                <w:sz w:val="20"/>
                <w:szCs w:val="20"/>
                <w:color w:val="auto"/>
              </w:rPr>
              <w:t>Citizenship:</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0480" w:type="dxa"/>
            <w:vAlign w:val="bottom"/>
            <w:vMerge w:val="restart"/>
          </w:tcPr>
          <w:p>
            <w:pPr>
              <w:ind w:left="240"/>
              <w:spacing w:after="0"/>
              <w:rPr>
                <w:sz w:val="20"/>
                <w:szCs w:val="20"/>
                <w:color w:val="auto"/>
              </w:rPr>
            </w:pPr>
            <w:r>
              <w:rPr>
                <w:rFonts w:ascii="Arial" w:cs="Arial" w:eastAsia="Arial" w:hAnsi="Arial"/>
                <w:sz w:val="20"/>
                <w:szCs w:val="20"/>
                <w:color w:val="auto"/>
              </w:rPr>
              <w:t>See Item 4 on the cover page(s) hereto.</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tcBorders>
              <w:bottom w:val="single" w:sz="8" w:color="auto"/>
            </w:tcBorders>
          </w:tcPr>
          <w:p>
            <w:pPr>
              <w:spacing w:after="0"/>
              <w:rPr>
                <w:sz w:val="13"/>
                <w:szCs w:val="13"/>
                <w:color w:val="auto"/>
              </w:rPr>
            </w:pPr>
          </w:p>
        </w:tc>
        <w:tc>
          <w:tcPr>
            <w:tcW w:w="10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80" w:type="dxa"/>
            <w:vAlign w:val="bottom"/>
            <w:vMerge w:val="restart"/>
          </w:tcPr>
          <w:p>
            <w:pPr>
              <w:ind w:left="480"/>
              <w:spacing w:after="0"/>
              <w:rPr>
                <w:sz w:val="20"/>
                <w:szCs w:val="20"/>
                <w:color w:val="auto"/>
              </w:rPr>
            </w:pPr>
            <w:r>
              <w:rPr>
                <w:rFonts w:ascii="Arial" w:cs="Arial" w:eastAsia="Arial" w:hAnsi="Arial"/>
                <w:sz w:val="20"/>
                <w:szCs w:val="20"/>
                <w:color w:val="auto"/>
              </w:rPr>
              <w:t>2(d)</w:t>
            </w:r>
          </w:p>
        </w:tc>
        <w:tc>
          <w:tcPr>
            <w:tcW w:w="10480" w:type="dxa"/>
            <w:vAlign w:val="bottom"/>
          </w:tcPr>
          <w:p>
            <w:pPr>
              <w:ind w:left="240"/>
              <w:spacing w:after="0" w:line="206" w:lineRule="exact"/>
              <w:rPr>
                <w:sz w:val="20"/>
                <w:szCs w:val="20"/>
                <w:color w:val="auto"/>
              </w:rPr>
            </w:pPr>
            <w:r>
              <w:rPr>
                <w:rFonts w:ascii="Arial" w:cs="Arial" w:eastAsia="Arial" w:hAnsi="Arial"/>
                <w:sz w:val="20"/>
                <w:szCs w:val="20"/>
                <w:color w:val="auto"/>
              </w:rPr>
              <w:t>Title of Class of Securities:</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0480" w:type="dxa"/>
            <w:vAlign w:val="bottom"/>
            <w:vMerge w:val="restart"/>
          </w:tcPr>
          <w:p>
            <w:pPr>
              <w:ind w:left="240"/>
              <w:spacing w:after="0"/>
              <w:rPr>
                <w:sz w:val="20"/>
                <w:szCs w:val="20"/>
                <w:color w:val="auto"/>
              </w:rPr>
            </w:pPr>
            <w:r>
              <w:rPr>
                <w:rFonts w:ascii="Arial" w:cs="Arial" w:eastAsia="Arial" w:hAnsi="Arial"/>
                <w:sz w:val="20"/>
                <w:szCs w:val="20"/>
                <w:color w:val="auto"/>
              </w:rPr>
              <w:t>COMMON UNITS</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80" w:type="dxa"/>
            <w:vAlign w:val="bottom"/>
            <w:tcBorders>
              <w:bottom w:val="single" w:sz="8" w:color="auto"/>
            </w:tcBorders>
          </w:tcPr>
          <w:p>
            <w:pPr>
              <w:spacing w:after="0"/>
              <w:rPr>
                <w:sz w:val="13"/>
                <w:szCs w:val="13"/>
                <w:color w:val="auto"/>
              </w:rPr>
            </w:pPr>
          </w:p>
        </w:tc>
        <w:tc>
          <w:tcPr>
            <w:tcW w:w="10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80" w:type="dxa"/>
            <w:vAlign w:val="bottom"/>
            <w:vMerge w:val="restart"/>
          </w:tcPr>
          <w:p>
            <w:pPr>
              <w:ind w:left="480"/>
              <w:spacing w:after="0"/>
              <w:rPr>
                <w:sz w:val="20"/>
                <w:szCs w:val="20"/>
                <w:color w:val="auto"/>
              </w:rPr>
            </w:pPr>
            <w:r>
              <w:rPr>
                <w:rFonts w:ascii="Arial" w:cs="Arial" w:eastAsia="Arial" w:hAnsi="Arial"/>
                <w:sz w:val="20"/>
                <w:szCs w:val="20"/>
                <w:color w:val="auto"/>
              </w:rPr>
              <w:t>2(e)</w:t>
            </w:r>
          </w:p>
        </w:tc>
        <w:tc>
          <w:tcPr>
            <w:tcW w:w="10480" w:type="dxa"/>
            <w:vAlign w:val="bottom"/>
          </w:tcPr>
          <w:p>
            <w:pPr>
              <w:ind w:left="240"/>
              <w:spacing w:after="0" w:line="206" w:lineRule="exact"/>
              <w:rPr>
                <w:sz w:val="20"/>
                <w:szCs w:val="20"/>
                <w:color w:val="auto"/>
              </w:rPr>
            </w:pPr>
            <w:r>
              <w:rPr>
                <w:rFonts w:ascii="Arial" w:cs="Arial" w:eastAsia="Arial" w:hAnsi="Arial"/>
                <w:sz w:val="20"/>
                <w:szCs w:val="20"/>
                <w:color w:val="auto"/>
              </w:rPr>
              <w:t>CUSIP Number:</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10480" w:type="dxa"/>
            <w:vAlign w:val="bottom"/>
            <w:vMerge w:val="restart"/>
          </w:tcPr>
          <w:p>
            <w:pPr>
              <w:ind w:left="240"/>
              <w:spacing w:after="0"/>
              <w:rPr>
                <w:sz w:val="20"/>
                <w:szCs w:val="20"/>
                <w:color w:val="auto"/>
              </w:rPr>
            </w:pPr>
            <w:r>
              <w:rPr>
                <w:rFonts w:ascii="Arial" w:cs="Arial" w:eastAsia="Arial" w:hAnsi="Arial"/>
                <w:sz w:val="20"/>
                <w:szCs w:val="20"/>
                <w:color w:val="auto"/>
              </w:rPr>
              <w:t>89376V100</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320" w:hanging="719"/>
        <w:spacing w:after="0"/>
        <w:tabs>
          <w:tab w:leader="none" w:pos="1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OppenheimerFunds, Inc. is an investment adviser in accordance with Rule 13d-1(b)(1)(ii)(E).</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600" w:type="dxa"/>
            <w:vAlign w:val="bottom"/>
            <w:vMerge w:val="restart"/>
          </w:tcPr>
          <w:p>
            <w:pPr>
              <w:spacing w:after="0"/>
              <w:rPr>
                <w:sz w:val="20"/>
                <w:szCs w:val="20"/>
                <w:color w:val="auto"/>
              </w:rPr>
            </w:pPr>
            <w:r>
              <w:rPr>
                <w:rFonts w:ascii="Arial" w:cs="Arial" w:eastAsia="Arial" w:hAnsi="Arial"/>
                <w:sz w:val="20"/>
                <w:szCs w:val="20"/>
                <w:color w:val="auto"/>
              </w:rPr>
              <w:t>4(a)</w:t>
            </w:r>
          </w:p>
        </w:tc>
        <w:tc>
          <w:tcPr>
            <w:tcW w:w="3840" w:type="dxa"/>
            <w:vAlign w:val="bottom"/>
          </w:tcPr>
          <w:p>
            <w:pPr>
              <w:ind w:left="240"/>
              <w:spacing w:after="0"/>
              <w:rPr>
                <w:sz w:val="20"/>
                <w:szCs w:val="20"/>
                <w:color w:val="auto"/>
              </w:rPr>
            </w:pPr>
            <w:r>
              <w:rPr>
                <w:rFonts w:ascii="Arial" w:cs="Arial" w:eastAsia="Arial" w:hAnsi="Arial"/>
                <w:sz w:val="20"/>
                <w:szCs w:val="20"/>
                <w:color w:val="auto"/>
              </w:rPr>
              <w:t>Amount beneficially owned:</w:t>
            </w:r>
          </w:p>
        </w:tc>
        <w:tc>
          <w:tcPr>
            <w:tcW w:w="0" w:type="dxa"/>
            <w:vAlign w:val="bottom"/>
          </w:tcPr>
          <w:p>
            <w:pPr>
              <w:spacing w:after="0"/>
              <w:rPr>
                <w:sz w:val="1"/>
                <w:szCs w:val="1"/>
                <w:color w:val="auto"/>
              </w:rPr>
            </w:pPr>
          </w:p>
        </w:tc>
      </w:tr>
      <w:tr>
        <w:trPr>
          <w:trHeight w:val="129"/>
        </w:trPr>
        <w:tc>
          <w:tcPr>
            <w:tcW w:w="600" w:type="dxa"/>
            <w:vAlign w:val="bottom"/>
            <w:vMerge w:val="continue"/>
          </w:tcPr>
          <w:p>
            <w:pPr>
              <w:spacing w:after="0"/>
              <w:rPr>
                <w:sz w:val="11"/>
                <w:szCs w:val="11"/>
                <w:color w:val="auto"/>
              </w:rPr>
            </w:pPr>
          </w:p>
        </w:tc>
        <w:tc>
          <w:tcPr>
            <w:tcW w:w="3840" w:type="dxa"/>
            <w:vAlign w:val="bottom"/>
            <w:vMerge w:val="restart"/>
          </w:tcPr>
          <w:p>
            <w:pPr>
              <w:ind w:left="240"/>
              <w:spacing w:after="0"/>
              <w:rPr>
                <w:sz w:val="20"/>
                <w:szCs w:val="20"/>
                <w:color w:val="auto"/>
              </w:rPr>
            </w:pPr>
            <w:r>
              <w:rPr>
                <w:rFonts w:ascii="Arial" w:cs="Arial" w:eastAsia="Arial" w:hAnsi="Arial"/>
                <w:sz w:val="20"/>
                <w:szCs w:val="20"/>
                <w:color w:val="auto"/>
              </w:rPr>
              <w:t>See Item 9 on the cover page(s) hereto.</w:t>
            </w: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4"/>
        </w:trPr>
        <w:tc>
          <w:tcPr>
            <w:tcW w:w="600" w:type="dxa"/>
            <w:vAlign w:val="bottom"/>
            <w:vMerge w:val="restart"/>
          </w:tcPr>
          <w:p>
            <w:pPr>
              <w:spacing w:after="0"/>
              <w:rPr>
                <w:sz w:val="20"/>
                <w:szCs w:val="20"/>
                <w:color w:val="auto"/>
              </w:rPr>
            </w:pPr>
            <w:r>
              <w:rPr>
                <w:rFonts w:ascii="Arial" w:cs="Arial" w:eastAsia="Arial" w:hAnsi="Arial"/>
                <w:sz w:val="20"/>
                <w:szCs w:val="20"/>
                <w:color w:val="auto"/>
              </w:rPr>
              <w:t>4(b)</w:t>
            </w:r>
          </w:p>
        </w:tc>
        <w:tc>
          <w:tcPr>
            <w:tcW w:w="3840" w:type="dxa"/>
            <w:vAlign w:val="bottom"/>
          </w:tcPr>
          <w:p>
            <w:pPr>
              <w:ind w:left="240"/>
              <w:spacing w:after="0"/>
              <w:rPr>
                <w:sz w:val="20"/>
                <w:szCs w:val="20"/>
                <w:color w:val="auto"/>
              </w:rPr>
            </w:pPr>
            <w:r>
              <w:rPr>
                <w:rFonts w:ascii="Arial" w:cs="Arial" w:eastAsia="Arial" w:hAnsi="Arial"/>
                <w:sz w:val="20"/>
                <w:szCs w:val="20"/>
                <w:color w:val="auto"/>
              </w:rPr>
              <w:t>Percent of class:</w:t>
            </w:r>
          </w:p>
        </w:tc>
        <w:tc>
          <w:tcPr>
            <w:tcW w:w="0" w:type="dxa"/>
            <w:vAlign w:val="bottom"/>
          </w:tcPr>
          <w:p>
            <w:pPr>
              <w:spacing w:after="0"/>
              <w:rPr>
                <w:sz w:val="1"/>
                <w:szCs w:val="1"/>
                <w:color w:val="auto"/>
              </w:rPr>
            </w:pPr>
          </w:p>
        </w:tc>
      </w:tr>
      <w:tr>
        <w:trPr>
          <w:trHeight w:val="129"/>
        </w:trPr>
        <w:tc>
          <w:tcPr>
            <w:tcW w:w="600" w:type="dxa"/>
            <w:vAlign w:val="bottom"/>
            <w:vMerge w:val="continue"/>
          </w:tcPr>
          <w:p>
            <w:pPr>
              <w:spacing w:after="0"/>
              <w:rPr>
                <w:sz w:val="11"/>
                <w:szCs w:val="11"/>
                <w:color w:val="auto"/>
              </w:rPr>
            </w:pPr>
          </w:p>
        </w:tc>
        <w:tc>
          <w:tcPr>
            <w:tcW w:w="3840" w:type="dxa"/>
            <w:vAlign w:val="bottom"/>
            <w:vMerge w:val="restart"/>
          </w:tcPr>
          <w:p>
            <w:pPr>
              <w:ind w:left="240"/>
              <w:spacing w:after="0"/>
              <w:rPr>
                <w:sz w:val="20"/>
                <w:szCs w:val="20"/>
                <w:color w:val="auto"/>
              </w:rPr>
            </w:pPr>
            <w:r>
              <w:rPr>
                <w:rFonts w:ascii="Arial" w:cs="Arial" w:eastAsia="Arial" w:hAnsi="Arial"/>
                <w:sz w:val="20"/>
                <w:szCs w:val="20"/>
                <w:color w:val="auto"/>
                <w:w w:val="98"/>
              </w:rPr>
              <w:t>See Item 11 on the cover page(s) hereto.</w:t>
            </w: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Number of shares as to which the person has:</w:t>
      </w:r>
    </w:p>
    <w:p>
      <w:pPr>
        <w:jc w:val="both"/>
        <w:ind w:left="1480" w:right="6580" w:hanging="167"/>
        <w:spacing w:after="0" w:line="237" w:lineRule="auto"/>
        <w:tabs>
          <w:tab w:leader="none" w:pos="1546" w:val="left"/>
        </w:tabs>
        <w:numPr>
          <w:ilvl w:val="0"/>
          <w:numId w:val="3"/>
        </w:numPr>
        <w:rPr>
          <w:rFonts w:ascii="Arial" w:cs="Arial" w:eastAsia="Arial" w:hAnsi="Arial"/>
          <w:sz w:val="19"/>
          <w:szCs w:val="19"/>
          <w:color w:val="auto"/>
        </w:rPr>
      </w:pPr>
      <w:r>
        <w:rPr>
          <w:rFonts w:ascii="Arial" w:cs="Arial" w:eastAsia="Arial" w:hAnsi="Arial"/>
          <w:sz w:val="19"/>
          <w:szCs w:val="19"/>
          <w:color w:val="auto"/>
        </w:rPr>
        <w:t>Sole power to vote or to direct the vote: See Item 5 on the cover page(s) hereto.</w:t>
      </w:r>
    </w:p>
    <w:p>
      <w:pPr>
        <w:ind w:left="1580" w:hanging="267"/>
        <w:spacing w:after="0" w:line="225" w:lineRule="auto"/>
        <w:tabs>
          <w:tab w:leader="none" w:pos="1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ind w:left="480"/>
        <w:spacing w:after="0" w:line="237" w:lineRule="auto"/>
        <w:rPr>
          <w:rFonts w:ascii="Arial" w:cs="Arial" w:eastAsia="Arial" w:hAnsi="Arial"/>
          <w:sz w:val="20"/>
          <w:szCs w:val="20"/>
          <w:color w:val="auto"/>
        </w:rPr>
      </w:pPr>
      <w:r>
        <w:rPr>
          <w:rFonts w:ascii="Arial" w:cs="Arial" w:eastAsia="Arial" w:hAnsi="Arial"/>
          <w:sz w:val="20"/>
          <w:szCs w:val="20"/>
          <w:color w:val="auto"/>
        </w:rPr>
        <w:t>4(c)</w:t>
      </w:r>
      <w:r>
        <w:rPr>
          <w:rFonts w:ascii="Arial" w:cs="Arial" w:eastAsia="Arial" w:hAnsi="Arial"/>
          <w:sz w:val="19"/>
          <w:szCs w:val="19"/>
          <w:color w:val="auto"/>
        </w:rPr>
        <w:t>See Item 6 on the cover page(s) hereto.</w:t>
      </w:r>
    </w:p>
    <w:p>
      <w:pPr>
        <w:ind w:left="1480" w:right="5400" w:hanging="167"/>
        <w:spacing w:after="0" w:line="225" w:lineRule="auto"/>
        <w:tabs>
          <w:tab w:leader="none" w:pos="1634"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See Item 7 on the cover page(s) hereto.</w:t>
      </w:r>
    </w:p>
    <w:p>
      <w:pPr>
        <w:ind w:left="1480" w:right="5140" w:hanging="167"/>
        <w:spacing w:after="0" w:line="236" w:lineRule="auto"/>
        <w:tabs>
          <w:tab w:leader="none" w:pos="1645"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See Item 8 on the cover page(s) hereto.</w:t>
      </w:r>
    </w:p>
    <w:p>
      <w:pPr>
        <w:spacing w:after="0" w:line="169" w:lineRule="exact"/>
        <w:rPr>
          <w:sz w:val="20"/>
          <w:szCs w:val="20"/>
          <w:color w:val="auto"/>
        </w:rPr>
      </w:pPr>
    </w:p>
    <w:p>
      <w:pPr>
        <w:ind w:left="1320" w:right="6220" w:hanging="719"/>
        <w:spacing w:after="0"/>
        <w:tabs>
          <w:tab w:leader="none" w:pos="1320" w:val="left"/>
        </w:tabs>
        <w:numPr>
          <w:ilvl w:val="0"/>
          <w:numId w:val="4"/>
        </w:numPr>
        <w:rPr>
          <w:rFonts w:ascii="Arial" w:cs="Arial" w:eastAsia="Arial" w:hAnsi="Arial"/>
          <w:sz w:val="35"/>
          <w:szCs w:val="35"/>
          <w:color w:val="auto"/>
          <w:vertAlign w:val="subscript"/>
        </w:rPr>
      </w:pPr>
      <w:r>
        <w:rPr>
          <w:rFonts w:ascii="Arial" w:cs="Arial" w:eastAsia="Arial" w:hAnsi="Arial"/>
          <w:sz w:val="18"/>
          <w:szCs w:val="18"/>
          <w:color w:val="auto"/>
        </w:rPr>
        <w:t>Ownership of Five Percent or Less of a Class: [ ]</w:t>
      </w:r>
    </w:p>
    <w:p>
      <w:pPr>
        <w:sectPr>
          <w:pgSz w:w="11900" w:h="16838" w:orient="portrait"/>
          <w:cols w:equalWidth="0" w:num="1">
            <w:col w:w="11560"/>
          </w:cols>
          <w:pgMar w:left="160" w:top="812" w:right="179" w:bottom="1440" w:gutter="0" w:footer="0" w:header="0"/>
        </w:sectPr>
      </w:pPr>
    </w:p>
    <w:bookmarkStart w:id="3" w:name="page4"/>
    <w:bookmarkEnd w:id="3"/>
    <w:p>
      <w:pPr>
        <w:ind w:left="774"/>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106680</wp:posOffset>
            </wp:positionH>
            <wp:positionV relativeFrom="page">
              <wp:posOffset>509905</wp:posOffset>
            </wp:positionV>
            <wp:extent cx="7338060" cy="3197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3197225"/>
                    </a:xfrm>
                    <a:prstGeom prst="rect">
                      <a:avLst/>
                    </a:prstGeom>
                    <a:noFill/>
                  </pic:spPr>
                </pic:pic>
              </a:graphicData>
            </a:graphic>
          </wp:anchor>
        </w:drawing>
        <w:t>Ownership of More than Five Percent on Behalf of Another Person.:</w:t>
      </w:r>
    </w:p>
    <w:p>
      <w:pPr>
        <w:ind w:left="774" w:right="140"/>
        <w:spacing w:after="0" w:line="229" w:lineRule="auto"/>
        <w:rPr>
          <w:sz w:val="20"/>
          <w:szCs w:val="20"/>
          <w:color w:val="auto"/>
        </w:rPr>
      </w:pPr>
      <w:r>
        <w:rPr>
          <w:rFonts w:ascii="Arial" w:cs="Arial" w:eastAsia="Arial" w:hAnsi="Arial"/>
          <w:sz w:val="19"/>
          <w:szCs w:val="19"/>
          <w:color w:val="auto"/>
        </w:rPr>
        <w:t>Securities reported on this Schedule 13G as being beneficially owned by OppenheimerFunds, Inc., are held in the accounts of investment advisory clients (which may include investment companies registered under the Investment</w:t>
      </w:r>
    </w:p>
    <w:p>
      <w:pPr>
        <w:spacing w:after="0" w:line="15" w:lineRule="exact"/>
        <w:rPr>
          <w:sz w:val="20"/>
          <w:szCs w:val="20"/>
          <w:color w:val="auto"/>
        </w:rPr>
      </w:pPr>
    </w:p>
    <w:p>
      <w:pPr>
        <w:ind w:left="774" w:right="1180" w:hanging="719"/>
        <w:spacing w:after="0" w:line="236" w:lineRule="auto"/>
        <w:tabs>
          <w:tab w:leader="none" w:pos="774" w:val="left"/>
        </w:tabs>
        <w:numPr>
          <w:ilvl w:val="0"/>
          <w:numId w:val="5"/>
        </w:numPr>
        <w:rPr>
          <w:rFonts w:ascii="Arial" w:cs="Arial" w:eastAsia="Arial" w:hAnsi="Arial"/>
          <w:sz w:val="20"/>
          <w:szCs w:val="20"/>
          <w:color w:val="auto"/>
        </w:rPr>
      </w:pPr>
      <w:r>
        <w:rPr>
          <w:rFonts w:ascii="Arial" w:cs="Arial" w:eastAsia="Arial" w:hAnsi="Arial"/>
          <w:sz w:val="20"/>
          <w:szCs w:val="20"/>
          <w:color w:val="auto"/>
        </w:rPr>
        <w:t>Company Act of 1940, employee benefit plans, pension funds and other institutional clients) advised by OppenheimerFunds, Inc., directly and through its subsidiaries.</w:t>
      </w:r>
    </w:p>
    <w:p>
      <w:pPr>
        <w:spacing w:after="0" w:line="168" w:lineRule="exact"/>
        <w:rPr>
          <w:rFonts w:ascii="Arial" w:cs="Arial" w:eastAsia="Arial" w:hAnsi="Arial"/>
          <w:sz w:val="20"/>
          <w:szCs w:val="20"/>
          <w:color w:val="auto"/>
        </w:rPr>
      </w:pPr>
    </w:p>
    <w:p>
      <w:pPr>
        <w:ind w:left="774"/>
        <w:spacing w:after="0"/>
        <w:rPr>
          <w:rFonts w:ascii="Arial" w:cs="Arial" w:eastAsia="Arial" w:hAnsi="Arial"/>
          <w:sz w:val="20"/>
          <w:szCs w:val="20"/>
          <w:color w:val="auto"/>
        </w:rPr>
      </w:pPr>
      <w:r>
        <w:rPr>
          <w:rFonts w:ascii="Arial" w:cs="Arial" w:eastAsia="Arial" w:hAnsi="Arial"/>
          <w:sz w:val="20"/>
          <w:szCs w:val="20"/>
          <w:color w:val="auto"/>
        </w:rPr>
        <w:t>Not applicable.</w:t>
      </w:r>
    </w:p>
    <w:p>
      <w:pPr>
        <w:spacing w:after="0" w:line="161" w:lineRule="exact"/>
        <w:rPr>
          <w:sz w:val="20"/>
          <w:szCs w:val="20"/>
          <w:color w:val="auto"/>
        </w:rPr>
      </w:pPr>
    </w:p>
    <w:p>
      <w:pPr>
        <w:ind w:left="774"/>
        <w:spacing w:after="0"/>
        <w:rPr>
          <w:sz w:val="20"/>
          <w:szCs w:val="20"/>
          <w:color w:val="auto"/>
        </w:rPr>
      </w:pPr>
      <w:r>
        <w:rPr>
          <w:rFonts w:ascii="Arial" w:cs="Arial" w:eastAsia="Arial" w:hAnsi="Arial"/>
          <w:sz w:val="20"/>
          <w:szCs w:val="20"/>
          <w:color w:val="auto"/>
        </w:rPr>
        <w:t>Identification and Classification of the Subsidiary Which Acquired the Security Being Reported on By the Parent</w:t>
      </w:r>
    </w:p>
    <w:p>
      <w:pPr>
        <w:ind w:left="774" w:right="8560" w:hanging="719"/>
        <w:spacing w:after="0" w:line="252" w:lineRule="auto"/>
        <w:tabs>
          <w:tab w:leader="none" w:pos="774" w:val="left"/>
        </w:tabs>
        <w:numPr>
          <w:ilvl w:val="0"/>
          <w:numId w:val="6"/>
        </w:numPr>
        <w:rPr>
          <w:rFonts w:ascii="Arial" w:cs="Arial" w:eastAsia="Arial" w:hAnsi="Arial"/>
          <w:sz w:val="19"/>
          <w:szCs w:val="19"/>
          <w:color w:val="auto"/>
        </w:rPr>
      </w:pPr>
      <w:r>
        <w:rPr>
          <w:rFonts w:ascii="Arial" w:cs="Arial" w:eastAsia="Arial" w:hAnsi="Arial"/>
          <w:sz w:val="19"/>
          <w:szCs w:val="19"/>
          <w:color w:val="auto"/>
        </w:rPr>
        <w:t>Holding Company: Not applicable.</w:t>
      </w:r>
    </w:p>
    <w:p>
      <w:pPr>
        <w:spacing w:after="0" w:line="162" w:lineRule="exact"/>
        <w:rPr>
          <w:sz w:val="20"/>
          <w:szCs w:val="20"/>
          <w:color w:val="auto"/>
        </w:rPr>
      </w:pPr>
    </w:p>
    <w:p>
      <w:pPr>
        <w:ind w:left="774" w:right="5160" w:hanging="719"/>
        <w:spacing w:after="0" w:line="181" w:lineRule="auto"/>
        <w:tabs>
          <w:tab w:leader="none" w:pos="774"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Identification and Classification of Members of the Group: Not applicable.</w:t>
      </w:r>
    </w:p>
    <w:p>
      <w:pPr>
        <w:spacing w:after="0" w:line="170" w:lineRule="exact"/>
        <w:rPr>
          <w:sz w:val="20"/>
          <w:szCs w:val="20"/>
          <w:color w:val="auto"/>
        </w:rPr>
      </w:pPr>
    </w:p>
    <w:p>
      <w:pPr>
        <w:ind w:left="774" w:right="7500" w:hanging="719"/>
        <w:spacing w:after="0" w:line="181" w:lineRule="auto"/>
        <w:tabs>
          <w:tab w:leader="none" w:pos="774" w:val="left"/>
        </w:tabs>
        <w:numPr>
          <w:ilvl w:val="0"/>
          <w:numId w:val="8"/>
        </w:numPr>
        <w:rPr>
          <w:rFonts w:ascii="Arial" w:cs="Arial" w:eastAsia="Arial" w:hAnsi="Arial"/>
          <w:sz w:val="34"/>
          <w:szCs w:val="34"/>
          <w:color w:val="auto"/>
          <w:vertAlign w:val="subscript"/>
        </w:rPr>
      </w:pPr>
      <w:r>
        <w:rPr>
          <w:rFonts w:ascii="Arial" w:cs="Arial" w:eastAsia="Arial" w:hAnsi="Arial"/>
          <w:sz w:val="18"/>
          <w:szCs w:val="18"/>
          <w:color w:val="auto"/>
        </w:rPr>
        <w:t>Notice of Dissolution of Group: Not applicable.</w:t>
      </w:r>
    </w:p>
    <w:p>
      <w:pPr>
        <w:spacing w:after="0" w:line="156" w:lineRule="exact"/>
        <w:rPr>
          <w:sz w:val="20"/>
          <w:szCs w:val="20"/>
          <w:color w:val="auto"/>
        </w:rPr>
      </w:pPr>
    </w:p>
    <w:p>
      <w:pPr>
        <w:ind w:left="774"/>
        <w:spacing w:after="0"/>
        <w:rPr>
          <w:sz w:val="20"/>
          <w:szCs w:val="20"/>
          <w:color w:val="auto"/>
        </w:rPr>
      </w:pPr>
      <w:r>
        <w:rPr>
          <w:rFonts w:ascii="Arial" w:cs="Arial" w:eastAsia="Arial" w:hAnsi="Arial"/>
          <w:sz w:val="20"/>
          <w:szCs w:val="20"/>
          <w:color w:val="auto"/>
        </w:rPr>
        <w:t>Certification:</w:t>
      </w:r>
    </w:p>
    <w:p>
      <w:pPr>
        <w:ind w:left="774"/>
        <w:spacing w:after="0" w:line="23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w:t>
      </w:r>
    </w:p>
    <w:p>
      <w:pPr>
        <w:ind w:left="774" w:hanging="774"/>
        <w:spacing w:after="0" w:line="232" w:lineRule="auto"/>
        <w:tabs>
          <w:tab w:leader="none" w:pos="774" w:val="left"/>
        </w:tabs>
        <w:numPr>
          <w:ilvl w:val="0"/>
          <w:numId w:val="9"/>
        </w:numPr>
        <w:rPr>
          <w:rFonts w:ascii="Arial" w:cs="Arial" w:eastAsia="Arial" w:hAnsi="Arial"/>
          <w:sz w:val="20"/>
          <w:szCs w:val="20"/>
          <w:color w:val="auto"/>
        </w:rPr>
      </w:pPr>
      <w:r>
        <w:rPr>
          <w:rFonts w:ascii="Arial" w:cs="Arial" w:eastAsia="Arial" w:hAnsi="Arial"/>
          <w:sz w:val="20"/>
          <w:szCs w:val="20"/>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54"/>
          </w:cols>
          <w:pgMar w:left="706" w:top="798"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37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1/24/2019</w:t>
      </w:r>
    </w:p>
    <w:p>
      <w:pPr>
        <w:jc w:val="center"/>
        <w:ind w:right="-59"/>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 Mary Ann Picciotto</w:t>
      </w:r>
    </w:p>
    <w:p>
      <w:pPr>
        <w:jc w:val="center"/>
        <w:ind w:right="-5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Mary Ann Picciotto, Sr. Vice President and Chief Compliance Officer</w:t>
      </w:r>
    </w:p>
    <w:p>
      <w:pPr>
        <w:jc w:val="center"/>
        <w:ind w:right="-59"/>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If you have questions please contact Judith Gottlieb at 212-323-4858 or by email at jgottlieb@ofiglobal.com</w:t>
      </w:r>
    </w:p>
    <w:sectPr>
      <w:pgSz w:w="11900" w:h="16838" w:orient="portrait"/>
      <w:cols w:equalWidth="0" w:num="1">
        <w:col w:w="11500"/>
      </w:cols>
      <w:pgMar w:left="160" w:top="7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6"/>
      <w:numFmt w:val="bullet"/>
      <w:start w:val="1"/>
    </w:lvl>
  </w:abstractNum>
  <w:abstractNum w:abstractNumId="5">
    <w:nsid w:val="79E2A9E3"/>
    <w:multiLevelType w:val="hybridMultilevel"/>
    <w:lvl w:ilvl="0">
      <w:lvlJc w:val="left"/>
      <w:lvlText w:val="7"/>
      <w:numFmt w:val="bullet"/>
      <w:start w:val="1"/>
    </w:lvl>
  </w:abstractNum>
  <w:abstractNum w:abstractNumId="6">
    <w:nsid w:val="7545E146"/>
    <w:multiLevelType w:val="hybridMultilevel"/>
    <w:lvl w:ilvl="0">
      <w:lvlJc w:val="left"/>
      <w:lvlText w:val="8"/>
      <w:numFmt w:val="bullet"/>
      <w:start w:val="1"/>
    </w:lvl>
  </w:abstractNum>
  <w:abstractNum w:abstractNumId="7">
    <w:nsid w:val="515F007C"/>
    <w:multiLevelType w:val="hybridMultilevel"/>
    <w:lvl w:ilvl="0">
      <w:lvlJc w:val="left"/>
      <w:lvlText w:val="9"/>
      <w:numFmt w:val="bullet"/>
      <w:start w:val="1"/>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2019-12-19T21:30:23Z</dcterms:created>
  <dcterms:modified xsi:type="dcterms:W3CDTF">2019-12-19T21:30:23Z</dcterms:modified>
</cp:coreProperties>
</file>