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001-32505</w:t>
            </w:r>
          </w:p>
        </w:tc>
        <w:tc>
          <w:tcPr>
            <w:tcW w:w="32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34-2037221</w:t>
            </w:r>
          </w:p>
        </w:tc>
      </w:tr>
      <w:tr>
        <w:trPr>
          <w:trHeight w:val="191"/>
        </w:trPr>
        <w:tc>
          <w:tcPr>
            <w:tcW w:w="3200" w:type="dxa"/>
            <w:vAlign w:val="bottom"/>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1670 Broadway, Suite 3100</w:t>
            </w:r>
          </w:p>
        </w:tc>
        <w:tc>
          <w:tcPr>
            <w:tcW w:w="32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 80202</w:t>
            </w:r>
          </w:p>
        </w:tc>
        <w:tc>
          <w:tcPr>
            <w:tcW w:w="32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 626-8200</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080"/>
        <w:spacing w:after="0"/>
        <w:tabs>
          <w:tab w:leader="none" w:pos="4720" w:val="left"/>
          <w:tab w:leader="none" w:pos="77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8, 2025, TransMontaigne Partners LLC (“TransMontaigne” or the “Company”) completed the sale of its terminal facility located on Fisher Island, Miami, Florida to HRP Fisher Island, LLC, a Delaware limited liability company. The Fisher Island terminal has active capacity of approximately 700,000 barrels for the storage of marine fuels. The purchase price was $180 million. Effective as of the closing, TransMontaigne leased the terminal facility from the buyer to allow TransMontaigne to continue its existing operations servicing its current customer agreements.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Proceeds from the sale of the Fisher Island terminal facility were used for the repayment of certain term debt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relating to this transaction has not been filed as an exhibit to this Current Report on Form 8-K because the transaction is not material to the Company’s financial position or results of operations.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press release announcing the closing of the sale of the Fisher Island Terminal is attached as Exhibit 99.1 hereto. The information contained in this Item 7.01 and Exhibit 99.1 to this report shall not be deemed to be “filed” for the purposes of Section 18 of the Securities Exchange Act of 1934 or otherwise subject to the liabilities of that Section, unless the Company specifically incorporates the information by reference in a document filed under the Securities Act of 1933 or the Securities Exchange Act of 1934.</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3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October 9, 2025.</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TRANSMONTAIGNE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White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Secretary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8700" cy="1165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CLOSES ON THE SALE OF ITS FISHER ISLAND, MIAMI TERMINAL</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DENVER – October 9, 2025 – TransMontaigne Partners LLC </w:t>
      </w:r>
      <w:r>
        <w:rPr>
          <w:rFonts w:ascii="Times New Roman" w:cs="Times New Roman" w:eastAsia="Times New Roman" w:hAnsi="Times New Roman"/>
          <w:sz w:val="18"/>
          <w:szCs w:val="18"/>
          <w:color w:val="auto"/>
        </w:rPr>
        <w:t>(“TransMontaigne”) today announced the closing of the sale of its terminal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on Fisher Island, Miami Florida.</w:t>
      </w:r>
    </w:p>
    <w:p>
      <w:pPr>
        <w:spacing w:after="0" w:line="1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Fisher Island terminal has active capacity of approximately 700,000 barrels for the storage of marine fuels. The purchase price was $180 million. Effective as of the closing, TransMontaigne leased the terminal from the buyer to allow TransMontaigne to continue its existing operations servicing its current customer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the terminal were used for the repayment of certain term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TransMontaigne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TransMontaigne Partners LLC is an integrated terminaling, storage, transportation and related services company based in Denver, Colorado with operations in the United States along the Gulf Coast, in the Midwest, in Houston and Brownsville, Texas, along the Mississippi and Ohio rivers, in the Southeast, in the Pacific Northwest and along the West Coast. TransMontaigne provides integrated terminaling, storage, transportation and related services for customers engaged in the distribution and marketing of bulk liquids. News and additional information about TransMontaigne Partners LLC is available at </w:t>
      </w:r>
      <w:r>
        <w:rPr>
          <w:rFonts w:ascii="Times New Roman" w:cs="Times New Roman" w:eastAsia="Times New Roman" w:hAnsi="Times New Roman"/>
          <w:sz w:val="18"/>
          <w:szCs w:val="18"/>
          <w:u w:val="single" w:color="auto"/>
          <w:color w:val="auto"/>
        </w:rPr>
        <w:t>www.transmontaignepartners.com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includes statements that may constitute forward-looking statements made pursuant to the safe harbor provision of the Private Securities Litigation Reform Act of 1995. Although TransMontaigne believes that such forward-looking statements are based on reasonable assumptions, such statements are subject to risks and uncertainties that could cause actual results to differ materially from those projected. Therefore, you should not rely on any of these forward-looking statements. Important factors that could cause actual results to differ materially from TransMontaigne’s expectations and may adversely affect its business and results of operations are disclosed in “Item 1A. Risk Factors” in the TransMontaigne’s Annual Report on Form 10-K for the year ended December 31, 2024, filed with the Securities and Exchange Commission on March 27, 2025. Any forward-looking statement made by TransMontaigne in this press release is based only on information currently available to TransMontaigne and speaks only as of the date on which it is made. TransMontaigne undertakes no obligation to publicly update any forward-looking statement, whether written or oral, that may be made from time to time, whether as a result of new information, future developments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Matthew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prelease@transmontaigne.com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2025-10-09T10:10:38Z</dcterms:created>
  <dcterms:modified xsi:type="dcterms:W3CDTF">2025-10-09T10:10:38Z</dcterms:modified>
</cp:coreProperties>
</file>